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A77B8" w14:textId="5A9E3A2A" w:rsidR="00BB41F4" w:rsidRPr="009E06BB" w:rsidRDefault="0015728C" w:rsidP="00EB41F5">
      <w:pPr>
        <w:pStyle w:val="Titel"/>
        <w:ind w:left="142"/>
        <w:rPr>
          <w:b/>
          <w:bCs/>
          <w:lang w:val="fr-CH"/>
        </w:rPr>
      </w:pPr>
      <w:r w:rsidRPr="009E06BB">
        <w:rPr>
          <w:b/>
          <w:lang w:val="fr-CH"/>
        </w:rPr>
        <w:t>KFMS 2.0.</w:t>
      </w:r>
    </w:p>
    <w:p w14:paraId="360F95A0" w14:textId="4611AD2C" w:rsidR="00BB41F4" w:rsidRPr="009E06BB" w:rsidRDefault="00BB41F4" w:rsidP="00EB41F5">
      <w:pPr>
        <w:pStyle w:val="Titel"/>
        <w:ind w:left="142"/>
        <w:rPr>
          <w:lang w:val="fr-CH"/>
        </w:rPr>
      </w:pPr>
      <w:r w:rsidRPr="009E06BB">
        <w:rPr>
          <w:lang w:val="fr-CH"/>
        </w:rPr>
        <w:t>DO, annexe 02 Respect des critères d’adjudication.</w:t>
      </w:r>
    </w:p>
    <w:p w14:paraId="4EE3188A" w14:textId="77777777" w:rsidR="004A5A2E" w:rsidRPr="009E06BB" w:rsidRDefault="004A5A2E" w:rsidP="00BB41F4">
      <w:pPr>
        <w:rPr>
          <w:lang w:val="fr-CH"/>
        </w:rPr>
      </w:pPr>
    </w:p>
    <w:p w14:paraId="62156992" w14:textId="52C63C99" w:rsidR="007412C7" w:rsidRPr="009E06BB" w:rsidRDefault="00362DC0" w:rsidP="00136A22">
      <w:pPr>
        <w:ind w:left="142"/>
        <w:rPr>
          <w:lang w:val="fr-CH"/>
        </w:rPr>
      </w:pPr>
      <w:r>
        <w:rPr>
          <w:lang w:val="fr-CH"/>
        </w:rPr>
        <w:t>03.02.2023</w:t>
      </w:r>
    </w:p>
    <w:p w14:paraId="0001BF4B" w14:textId="77777777" w:rsidR="00136A22" w:rsidRPr="009E06BB" w:rsidRDefault="00136A22" w:rsidP="007412C7">
      <w:pPr>
        <w:rPr>
          <w:lang w:val="fr-CH"/>
        </w:rPr>
      </w:pPr>
    </w:p>
    <w:tbl>
      <w:tblPr>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10065"/>
        <w:gridCol w:w="567"/>
        <w:gridCol w:w="4252"/>
      </w:tblGrid>
      <w:tr w:rsidR="007412C7" w:rsidRPr="009E06BB" w14:paraId="0D5CE4BD" w14:textId="77777777" w:rsidTr="007412C7">
        <w:trPr>
          <w:trHeight w:val="405"/>
        </w:trPr>
        <w:tc>
          <w:tcPr>
            <w:tcW w:w="10632" w:type="dxa"/>
            <w:gridSpan w:val="2"/>
            <w:tcBorders>
              <w:top w:val="nil"/>
              <w:left w:val="nil"/>
              <w:bottom w:val="nil"/>
              <w:right w:val="nil"/>
            </w:tcBorders>
          </w:tcPr>
          <w:p w14:paraId="6A7FDF0D" w14:textId="77777777" w:rsidR="007412C7" w:rsidRPr="009E06BB" w:rsidRDefault="007412C7" w:rsidP="007412C7">
            <w:pPr>
              <w:rPr>
                <w:lang w:val="fr-CH"/>
              </w:rPr>
            </w:pPr>
            <w:r w:rsidRPr="009E06BB">
              <w:rPr>
                <w:i/>
                <w:lang w:val="fr-CH"/>
              </w:rPr>
              <w:t>Remarque:</w:t>
            </w:r>
            <w:r w:rsidRPr="009E06BB">
              <w:rPr>
                <w:lang w:val="fr-CH"/>
              </w:rPr>
              <w:t xml:space="preserve"> les zones grisées de ce formulaire sont des </w:t>
            </w:r>
            <w:r w:rsidRPr="009E06BB">
              <w:rPr>
                <w:b/>
                <w:lang w:val="fr-CH"/>
              </w:rPr>
              <w:t>champs de saisie</w:t>
            </w:r>
            <w:r w:rsidRPr="009E06BB">
              <w:rPr>
                <w:lang w:val="fr-CH"/>
              </w:rPr>
              <w:t xml:space="preserve">. </w:t>
            </w:r>
          </w:p>
        </w:tc>
        <w:tc>
          <w:tcPr>
            <w:tcW w:w="4252" w:type="dxa"/>
            <w:tcBorders>
              <w:top w:val="nil"/>
              <w:left w:val="nil"/>
              <w:bottom w:val="single" w:sz="4" w:space="0" w:color="auto"/>
              <w:right w:val="nil"/>
            </w:tcBorders>
          </w:tcPr>
          <w:p w14:paraId="469CEDD5" w14:textId="77777777" w:rsidR="007412C7" w:rsidRPr="009E06BB" w:rsidRDefault="007412C7" w:rsidP="007412C7">
            <w:pPr>
              <w:rPr>
                <w:b/>
                <w:bCs/>
                <w:lang w:val="fr-CH"/>
              </w:rPr>
            </w:pPr>
            <w:r w:rsidRPr="009E06BB">
              <w:rPr>
                <w:b/>
                <w:lang w:val="fr-CH"/>
              </w:rPr>
              <w:t>Soumissionnaire</w:t>
            </w:r>
          </w:p>
        </w:tc>
      </w:tr>
      <w:tr w:rsidR="007412C7" w:rsidRPr="009E06BB" w14:paraId="4C578BB5" w14:textId="77777777" w:rsidTr="002E4622">
        <w:trPr>
          <w:trHeight w:val="1608"/>
        </w:trPr>
        <w:tc>
          <w:tcPr>
            <w:tcW w:w="10065" w:type="dxa"/>
            <w:tcBorders>
              <w:top w:val="nil"/>
              <w:left w:val="nil"/>
              <w:bottom w:val="nil"/>
              <w:right w:val="single" w:sz="4" w:space="0" w:color="auto"/>
            </w:tcBorders>
          </w:tcPr>
          <w:p w14:paraId="3FBFF0C4" w14:textId="3914A946" w:rsidR="007412C7" w:rsidRPr="009E06BB" w:rsidRDefault="007412C7" w:rsidP="00A873A7">
            <w:pPr>
              <w:spacing w:after="240"/>
              <w:rPr>
                <w:b/>
                <w:bCs/>
                <w:lang w:val="fr-CH"/>
              </w:rPr>
            </w:pPr>
            <w:r w:rsidRPr="009E06BB">
              <w:rPr>
                <w:b/>
                <w:lang w:val="fr-CH"/>
              </w:rPr>
              <w:t xml:space="preserve">L’analyse ou l’évaluation de l’offre se base sur les informations contenues dans le présent formulaire </w:t>
            </w:r>
            <w:r w:rsidRPr="009E06BB">
              <w:rPr>
                <w:b/>
                <w:i/>
                <w:lang w:val="fr-CH"/>
              </w:rPr>
              <w:t>Respect des critères d’adjudication</w:t>
            </w:r>
            <w:r w:rsidRPr="009E06BB">
              <w:rPr>
                <w:b/>
                <w:lang w:val="fr-CH"/>
              </w:rPr>
              <w:t xml:space="preserve"> et, le cas échéant, dans les formulaires référencés</w:t>
            </w:r>
            <w:r w:rsidRPr="009E06BB">
              <w:rPr>
                <w:b/>
                <w:i/>
                <w:lang w:val="fr-CH"/>
              </w:rPr>
              <w:t xml:space="preserve">. </w:t>
            </w:r>
            <w:r w:rsidRPr="009E06BB">
              <w:rPr>
                <w:b/>
                <w:lang w:val="fr-CH"/>
              </w:rPr>
              <w:t>Si l’une des exigences ne peut pas être traitée de manière définitive dans le document de saisie, un document annexe clairement référencé doit être joint pour l’exigence concernée.</w:t>
            </w:r>
          </w:p>
          <w:p w14:paraId="41845B55" w14:textId="77777777" w:rsidR="007412C7" w:rsidRPr="009E06BB" w:rsidRDefault="007412C7" w:rsidP="00A873A7">
            <w:pPr>
              <w:spacing w:after="240"/>
              <w:rPr>
                <w:bCs/>
                <w:lang w:val="fr-CH"/>
              </w:rPr>
            </w:pPr>
            <w:r w:rsidRPr="009E06BB">
              <w:rPr>
                <w:lang w:val="fr-CH"/>
              </w:rPr>
              <w:t xml:space="preserve">Si les formulaires sont remplis de façon incomplète ou mensongère, qu’ils ne sont pas signés ou qu’ils ne contiennent pas les preuves exigées, l’entreprise soumissionnaire peut être exclue de la procédure. </w:t>
            </w:r>
          </w:p>
          <w:p w14:paraId="0DB09457" w14:textId="51D706A4" w:rsidR="007412C7" w:rsidRPr="009E06BB" w:rsidRDefault="007412C7" w:rsidP="007412C7">
            <w:pPr>
              <w:rPr>
                <w:lang w:val="fr-CH"/>
              </w:rPr>
            </w:pPr>
          </w:p>
        </w:tc>
        <w:tc>
          <w:tcPr>
            <w:tcW w:w="4819" w:type="dxa"/>
            <w:gridSpan w:val="2"/>
            <w:tcBorders>
              <w:top w:val="single" w:sz="4" w:space="0" w:color="auto"/>
              <w:left w:val="single" w:sz="4" w:space="0" w:color="auto"/>
              <w:bottom w:val="single" w:sz="4" w:space="0" w:color="auto"/>
              <w:right w:val="single" w:sz="4" w:space="0" w:color="auto"/>
            </w:tcBorders>
            <w:shd w:val="clear" w:color="auto" w:fill="FFF6C1"/>
          </w:tcPr>
          <w:p w14:paraId="4A377385" w14:textId="5AA05D58" w:rsidR="007412C7" w:rsidRPr="009E06BB" w:rsidRDefault="007412C7" w:rsidP="007412C7">
            <w:pPr>
              <w:rPr>
                <w:bCs/>
                <w:lang w:val="fr-CH"/>
              </w:rPr>
            </w:pPr>
            <w:r w:rsidRPr="009E06BB">
              <w:rPr>
                <w:lang w:val="fr-CH"/>
              </w:rPr>
              <w:fldChar w:fldCharType="begin">
                <w:ffData>
                  <w:name w:val="Text6"/>
                  <w:enabled/>
                  <w:calcOnExit w:val="0"/>
                  <w:textInput/>
                </w:ffData>
              </w:fldChar>
            </w:r>
            <w:r w:rsidRPr="009E06BB">
              <w:rPr>
                <w:lang w:val="fr-CH"/>
              </w:rPr>
              <w:instrText xml:space="preserve"> FORMTEXT </w:instrText>
            </w:r>
            <w:r w:rsidRPr="009E06BB">
              <w:rPr>
                <w:lang w:val="fr-CH"/>
              </w:rPr>
            </w:r>
            <w:r w:rsidRPr="009E06BB">
              <w:rPr>
                <w:lang w:val="fr-CH"/>
              </w:rPr>
              <w:fldChar w:fldCharType="separate"/>
            </w:r>
            <w:r w:rsidR="0049691F">
              <w:rPr>
                <w:noProof/>
                <w:lang w:val="fr-CH"/>
              </w:rPr>
              <w:t> </w:t>
            </w:r>
            <w:r w:rsidR="0049691F">
              <w:rPr>
                <w:noProof/>
                <w:lang w:val="fr-CH"/>
              </w:rPr>
              <w:t> </w:t>
            </w:r>
            <w:r w:rsidR="0049691F">
              <w:rPr>
                <w:noProof/>
                <w:lang w:val="fr-CH"/>
              </w:rPr>
              <w:t> </w:t>
            </w:r>
            <w:r w:rsidR="0049691F">
              <w:rPr>
                <w:noProof/>
                <w:lang w:val="fr-CH"/>
              </w:rPr>
              <w:t> </w:t>
            </w:r>
            <w:r w:rsidR="0049691F">
              <w:rPr>
                <w:noProof/>
                <w:lang w:val="fr-CH"/>
              </w:rPr>
              <w:t> </w:t>
            </w:r>
            <w:r w:rsidRPr="009E06BB">
              <w:rPr>
                <w:lang w:val="fr-CH"/>
              </w:rPr>
              <w:fldChar w:fldCharType="end"/>
            </w:r>
          </w:p>
        </w:tc>
      </w:tr>
    </w:tbl>
    <w:p w14:paraId="36829362" w14:textId="77777777" w:rsidR="007412C7" w:rsidRPr="009E06BB" w:rsidRDefault="007412C7" w:rsidP="007412C7">
      <w:pPr>
        <w:rPr>
          <w:lang w:val="fr-CH"/>
        </w:rPr>
      </w:pPr>
    </w:p>
    <w:tbl>
      <w:tblPr>
        <w:tblW w:w="1482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57" w:type="dxa"/>
          <w:bottom w:w="113" w:type="dxa"/>
          <w:right w:w="57" w:type="dxa"/>
        </w:tblCellMar>
        <w:tblLook w:val="01E0" w:firstRow="1" w:lastRow="1" w:firstColumn="1" w:lastColumn="1" w:noHBand="0" w:noVBand="0"/>
      </w:tblPr>
      <w:tblGrid>
        <w:gridCol w:w="647"/>
        <w:gridCol w:w="3260"/>
        <w:gridCol w:w="6096"/>
        <w:gridCol w:w="4819"/>
      </w:tblGrid>
      <w:tr w:rsidR="00A12242" w:rsidRPr="009E06BB" w14:paraId="48D8423E" w14:textId="77777777" w:rsidTr="005B58F2">
        <w:trPr>
          <w:trHeight w:val="476"/>
          <w:tblHeader/>
        </w:trPr>
        <w:tc>
          <w:tcPr>
            <w:tcW w:w="647" w:type="dxa"/>
            <w:tcBorders>
              <w:bottom w:val="single" w:sz="4" w:space="0" w:color="auto"/>
            </w:tcBorders>
            <w:shd w:val="clear" w:color="auto" w:fill="800000" w:themeFill="accent6" w:themeFillShade="80"/>
            <w:vAlign w:val="center"/>
          </w:tcPr>
          <w:p w14:paraId="66BE130C" w14:textId="77777777" w:rsidR="00A12242" w:rsidRPr="009E06BB" w:rsidRDefault="00A12242" w:rsidP="00A12242">
            <w:pPr>
              <w:rPr>
                <w:b/>
                <w:lang w:val="fr-CH"/>
              </w:rPr>
            </w:pPr>
            <w:r w:rsidRPr="009E06BB">
              <w:rPr>
                <w:b/>
                <w:lang w:val="fr-CH"/>
              </w:rPr>
              <w:t>CAd</w:t>
            </w:r>
          </w:p>
        </w:tc>
        <w:tc>
          <w:tcPr>
            <w:tcW w:w="9356" w:type="dxa"/>
            <w:gridSpan w:val="2"/>
            <w:tcBorders>
              <w:bottom w:val="single" w:sz="4" w:space="0" w:color="auto"/>
            </w:tcBorders>
            <w:shd w:val="clear" w:color="auto" w:fill="800000" w:themeFill="accent6" w:themeFillShade="80"/>
            <w:vAlign w:val="center"/>
          </w:tcPr>
          <w:p w14:paraId="4C8D3E50" w14:textId="5C421320" w:rsidR="00A12242" w:rsidRPr="009E06BB" w:rsidRDefault="00A12242" w:rsidP="00A12242">
            <w:pPr>
              <w:rPr>
                <w:b/>
                <w:lang w:val="fr-CH"/>
              </w:rPr>
            </w:pPr>
            <w:r w:rsidRPr="009E06BB">
              <w:rPr>
                <w:b/>
                <w:lang w:val="fr-CH"/>
              </w:rPr>
              <w:t>Critères d’adjudication (critères principaux et sous-critères)</w:t>
            </w:r>
          </w:p>
        </w:tc>
        <w:tc>
          <w:tcPr>
            <w:tcW w:w="4819" w:type="dxa"/>
            <w:tcBorders>
              <w:bottom w:val="single" w:sz="4" w:space="0" w:color="auto"/>
            </w:tcBorders>
            <w:shd w:val="clear" w:color="auto" w:fill="800000" w:themeFill="accent6" w:themeFillShade="80"/>
          </w:tcPr>
          <w:p w14:paraId="619C6B96" w14:textId="174A4214" w:rsidR="00A12242" w:rsidRPr="009E06BB" w:rsidRDefault="00A12242" w:rsidP="00A12242">
            <w:pPr>
              <w:rPr>
                <w:b/>
                <w:lang w:val="fr-CH"/>
              </w:rPr>
            </w:pPr>
            <w:r w:rsidRPr="009E06BB">
              <w:rPr>
                <w:b/>
                <w:lang w:val="fr-CH"/>
              </w:rPr>
              <w:t>Preuve(s)</w:t>
            </w:r>
          </w:p>
        </w:tc>
      </w:tr>
      <w:tr w:rsidR="002E4622" w:rsidRPr="009E06BB" w14:paraId="49A4D486" w14:textId="77777777" w:rsidTr="005B58F2">
        <w:trPr>
          <w:trHeight w:val="491"/>
        </w:trPr>
        <w:tc>
          <w:tcPr>
            <w:tcW w:w="647" w:type="dxa"/>
            <w:tcBorders>
              <w:top w:val="single" w:sz="4" w:space="0" w:color="auto"/>
              <w:bottom w:val="single" w:sz="4" w:space="0" w:color="auto"/>
            </w:tcBorders>
            <w:shd w:val="clear" w:color="auto" w:fill="CDCDCD"/>
          </w:tcPr>
          <w:p w14:paraId="53A1EBDA" w14:textId="77777777" w:rsidR="002E4622" w:rsidRPr="009E06BB" w:rsidRDefault="002E4622" w:rsidP="007412C7">
            <w:pPr>
              <w:rPr>
                <w:b/>
                <w:bCs/>
                <w:lang w:val="fr-CH"/>
              </w:rPr>
            </w:pPr>
            <w:r w:rsidRPr="009E06BB">
              <w:rPr>
                <w:b/>
                <w:lang w:val="fr-CH"/>
              </w:rPr>
              <w:t>1</w:t>
            </w:r>
          </w:p>
        </w:tc>
        <w:tc>
          <w:tcPr>
            <w:tcW w:w="14175" w:type="dxa"/>
            <w:gridSpan w:val="3"/>
            <w:tcBorders>
              <w:top w:val="single" w:sz="4" w:space="0" w:color="auto"/>
              <w:bottom w:val="single" w:sz="4" w:space="0" w:color="auto"/>
            </w:tcBorders>
            <w:shd w:val="clear" w:color="auto" w:fill="CDCDCD"/>
          </w:tcPr>
          <w:p w14:paraId="05E1FC9D" w14:textId="6A361E10" w:rsidR="002E4622" w:rsidRPr="009E06BB" w:rsidRDefault="002E4622" w:rsidP="007412C7">
            <w:pPr>
              <w:rPr>
                <w:lang w:val="fr-CH"/>
              </w:rPr>
            </w:pPr>
            <w:r w:rsidRPr="009E06BB">
              <w:rPr>
                <w:b/>
                <w:lang w:val="fr-CH"/>
              </w:rPr>
              <w:t>Qualité du produit/de la prestation</w:t>
            </w:r>
            <w:r w:rsidRPr="009E06BB">
              <w:rPr>
                <w:b/>
                <w:lang w:val="fr-CH"/>
              </w:rPr>
              <w:br/>
              <w:t xml:space="preserve">Pond. 1: </w:t>
            </w:r>
            <w:r w:rsidRPr="009E06BB">
              <w:rPr>
                <w:lang w:val="fr-CH"/>
              </w:rPr>
              <w:t>60</w:t>
            </w:r>
            <w:r w:rsidRPr="009E06BB">
              <w:rPr>
                <w:b/>
                <w:lang w:val="fr-CH"/>
              </w:rPr>
              <w:t>%</w:t>
            </w:r>
          </w:p>
        </w:tc>
      </w:tr>
      <w:tr w:rsidR="002E4622" w:rsidRPr="009E06BB" w14:paraId="17B0897E" w14:textId="77777777" w:rsidTr="005B58F2">
        <w:trPr>
          <w:trHeight w:val="476"/>
          <w:tblHeader/>
        </w:trPr>
        <w:tc>
          <w:tcPr>
            <w:tcW w:w="647" w:type="dxa"/>
          </w:tcPr>
          <w:p w14:paraId="06EF7A4A" w14:textId="77777777" w:rsidR="002E4622" w:rsidRPr="009E06BB" w:rsidRDefault="002E4622" w:rsidP="007412C7">
            <w:pPr>
              <w:rPr>
                <w:b/>
                <w:bCs/>
                <w:lang w:val="fr-CH"/>
              </w:rPr>
            </w:pPr>
            <w:r w:rsidRPr="009E06BB">
              <w:rPr>
                <w:lang w:val="fr-CH"/>
              </w:rPr>
              <w:t>1.1</w:t>
            </w:r>
          </w:p>
        </w:tc>
        <w:tc>
          <w:tcPr>
            <w:tcW w:w="3260" w:type="dxa"/>
            <w:shd w:val="clear" w:color="auto" w:fill="auto"/>
          </w:tcPr>
          <w:p w14:paraId="2C330A14" w14:textId="77777777" w:rsidR="002E4622" w:rsidRPr="009E06BB" w:rsidRDefault="002E4622" w:rsidP="007412C7">
            <w:pPr>
              <w:rPr>
                <w:b/>
                <w:bCs/>
                <w:lang w:val="fr-CH"/>
              </w:rPr>
            </w:pPr>
            <w:r w:rsidRPr="009E06BB">
              <w:rPr>
                <w:b/>
                <w:lang w:val="fr-CH"/>
              </w:rPr>
              <w:t>Catalogue des exigences</w:t>
            </w:r>
          </w:p>
          <w:p w14:paraId="3D1666A6" w14:textId="77777777" w:rsidR="002E4622" w:rsidRPr="009E06BB" w:rsidRDefault="002E4622" w:rsidP="007412C7">
            <w:pPr>
              <w:rPr>
                <w:bCs/>
                <w:lang w:val="fr-CH"/>
              </w:rPr>
            </w:pPr>
          </w:p>
          <w:p w14:paraId="1F6CCFCA" w14:textId="392C396F" w:rsidR="002E4622" w:rsidRPr="009E06BB" w:rsidRDefault="002E4622" w:rsidP="007412C7">
            <w:pPr>
              <w:rPr>
                <w:bCs/>
                <w:lang w:val="fr-CH"/>
              </w:rPr>
            </w:pPr>
            <w:r w:rsidRPr="009E06BB">
              <w:rPr>
                <w:lang w:val="fr-CH"/>
              </w:rPr>
              <w:t>Pond. 2: 25%</w:t>
            </w:r>
          </w:p>
          <w:p w14:paraId="2C6C37EC" w14:textId="77777777" w:rsidR="002E4622" w:rsidRPr="009E06BB" w:rsidRDefault="002E4622" w:rsidP="007412C7">
            <w:pPr>
              <w:rPr>
                <w:bCs/>
                <w:lang w:val="fr-CH"/>
              </w:rPr>
            </w:pPr>
          </w:p>
        </w:tc>
        <w:tc>
          <w:tcPr>
            <w:tcW w:w="6096" w:type="dxa"/>
            <w:shd w:val="clear" w:color="auto" w:fill="auto"/>
          </w:tcPr>
          <w:p w14:paraId="4EAA33C6" w14:textId="77777777" w:rsidR="002E4622" w:rsidRPr="009E06BB" w:rsidRDefault="002E4622" w:rsidP="007412C7">
            <w:pPr>
              <w:rPr>
                <w:bCs/>
                <w:lang w:val="fr-CH"/>
              </w:rPr>
            </w:pPr>
            <w:r w:rsidRPr="009E06BB">
              <w:rPr>
                <w:lang w:val="fr-CH"/>
              </w:rPr>
              <w:t>Le catalogue des exigences permet de présenter les exigences des CFF concernant la solution globale.</w:t>
            </w:r>
          </w:p>
          <w:p w14:paraId="72910101" w14:textId="77777777" w:rsidR="002E4622" w:rsidRPr="009E06BB" w:rsidRDefault="002E4622" w:rsidP="007412C7">
            <w:pPr>
              <w:rPr>
                <w:lang w:val="fr-CH"/>
              </w:rPr>
            </w:pPr>
            <w:r w:rsidRPr="009E06BB">
              <w:rPr>
                <w:lang w:val="fr-CH"/>
              </w:rPr>
              <w:t>Le soumissionnaire remplit sa déclaration volontaire de manière complète et vérifiable. Les CFF procéderont à leur propre évaluation. Si les résultats divergent, l’évaluation des CFF sera retenue.</w:t>
            </w:r>
          </w:p>
          <w:p w14:paraId="3FE0678B" w14:textId="77777777" w:rsidR="002E4622" w:rsidRPr="009E06BB" w:rsidRDefault="002E4622" w:rsidP="007412C7">
            <w:pPr>
              <w:rPr>
                <w:lang w:val="fr-CH"/>
              </w:rPr>
            </w:pPr>
          </w:p>
          <w:p w14:paraId="1EF113CB" w14:textId="77777777" w:rsidR="002E4622" w:rsidRPr="009E06BB" w:rsidRDefault="002E4622" w:rsidP="007412C7">
            <w:pPr>
              <w:rPr>
                <w:b/>
                <w:bCs/>
                <w:lang w:val="fr-CH"/>
              </w:rPr>
            </w:pPr>
            <w:r w:rsidRPr="009E06BB">
              <w:rPr>
                <w:b/>
                <w:lang w:val="fr-CH"/>
              </w:rPr>
              <w:t>Principaux points d’observation</w:t>
            </w:r>
          </w:p>
          <w:p w14:paraId="2191137C" w14:textId="77777777" w:rsidR="002E4622" w:rsidRPr="009E06BB" w:rsidRDefault="002E4622" w:rsidP="007412C7">
            <w:pPr>
              <w:rPr>
                <w:lang w:val="fr-CH"/>
              </w:rPr>
            </w:pPr>
            <w:r w:rsidRPr="009E06BB">
              <w:rPr>
                <w:lang w:val="fr-CH"/>
              </w:rPr>
              <w:t>Respect des exigences fonctionnelles et non fonctionnelles</w:t>
            </w:r>
          </w:p>
          <w:p w14:paraId="55A5537D" w14:textId="77777777" w:rsidR="002E4622" w:rsidRPr="009E06BB" w:rsidRDefault="002E4622" w:rsidP="007412C7">
            <w:pPr>
              <w:rPr>
                <w:lang w:val="fr-CH"/>
              </w:rPr>
            </w:pPr>
          </w:p>
          <w:p w14:paraId="4280BB46" w14:textId="77777777" w:rsidR="002E4622" w:rsidRPr="009E06BB" w:rsidRDefault="002E4622" w:rsidP="007412C7">
            <w:pPr>
              <w:rPr>
                <w:b/>
                <w:bCs/>
                <w:iCs/>
                <w:lang w:val="fr-CH"/>
              </w:rPr>
            </w:pPr>
            <w:r w:rsidRPr="009E06BB">
              <w:rPr>
                <w:b/>
                <w:lang w:val="fr-CH"/>
              </w:rPr>
              <w:t>Échelle d’évaluation</w:t>
            </w:r>
          </w:p>
          <w:p w14:paraId="5F9D569A" w14:textId="52EC8CD5" w:rsidR="002E4622" w:rsidRPr="009E06BB" w:rsidRDefault="002E4622" w:rsidP="007412C7">
            <w:pPr>
              <w:ind w:left="517" w:hanging="567"/>
              <w:rPr>
                <w:bCs/>
                <w:iCs/>
                <w:lang w:val="fr-CH"/>
              </w:rPr>
            </w:pPr>
            <w:r w:rsidRPr="009E06BB">
              <w:rPr>
                <w:lang w:val="fr-CH"/>
              </w:rPr>
              <w:t>3,0 =</w:t>
            </w:r>
            <w:r w:rsidRPr="009E06BB">
              <w:rPr>
                <w:lang w:val="fr-CH"/>
              </w:rPr>
              <w:tab/>
            </w:r>
            <w:r w:rsidR="00516C47">
              <w:rPr>
                <w:lang w:val="fr-CH"/>
              </w:rPr>
              <w:t xml:space="preserve">(A) </w:t>
            </w:r>
            <w:r w:rsidRPr="009E06BB">
              <w:rPr>
                <w:lang w:val="fr-CH"/>
              </w:rPr>
              <w:t>pleinement conforme aux exigences et attentes des CFF</w:t>
            </w:r>
          </w:p>
          <w:p w14:paraId="32103A8C" w14:textId="5F862DE8" w:rsidR="002E4622" w:rsidRPr="009E06BB" w:rsidRDefault="002E4622" w:rsidP="007412C7">
            <w:pPr>
              <w:ind w:left="517" w:hanging="567"/>
              <w:rPr>
                <w:bCs/>
                <w:iCs/>
                <w:lang w:val="fr-CH"/>
              </w:rPr>
            </w:pPr>
            <w:r w:rsidRPr="009E06BB">
              <w:rPr>
                <w:lang w:val="fr-CH"/>
              </w:rPr>
              <w:t>2,0 =</w:t>
            </w:r>
            <w:r w:rsidRPr="009E06BB">
              <w:rPr>
                <w:lang w:val="fr-CH"/>
              </w:rPr>
              <w:tab/>
            </w:r>
            <w:r w:rsidR="00F31BC0">
              <w:rPr>
                <w:lang w:val="fr-CH"/>
              </w:rPr>
              <w:t xml:space="preserve">(B) </w:t>
            </w:r>
            <w:r w:rsidRPr="009E06BB">
              <w:rPr>
                <w:lang w:val="fr-CH"/>
              </w:rPr>
              <w:t>conforme aux exigences et attentes des CFF avec des restrictions mineures</w:t>
            </w:r>
          </w:p>
          <w:p w14:paraId="33A2D637" w14:textId="638C53BD" w:rsidR="002E4622" w:rsidRPr="009E06BB" w:rsidRDefault="002E4622" w:rsidP="007412C7">
            <w:pPr>
              <w:ind w:left="517" w:hanging="567"/>
              <w:rPr>
                <w:bCs/>
                <w:iCs/>
                <w:lang w:val="fr-CH"/>
              </w:rPr>
            </w:pPr>
            <w:r w:rsidRPr="009E06BB">
              <w:rPr>
                <w:lang w:val="fr-CH"/>
              </w:rPr>
              <w:t>1,0 =</w:t>
            </w:r>
            <w:r w:rsidRPr="009E06BB">
              <w:rPr>
                <w:lang w:val="fr-CH"/>
              </w:rPr>
              <w:tab/>
            </w:r>
            <w:r w:rsidR="00F31BC0">
              <w:rPr>
                <w:lang w:val="fr-CH"/>
              </w:rPr>
              <w:t xml:space="preserve">(C) </w:t>
            </w:r>
            <w:r w:rsidRPr="009E06BB">
              <w:rPr>
                <w:lang w:val="fr-CH"/>
              </w:rPr>
              <w:t>conforme aux exigences et attentes des CFF avec des restrictions importantes</w:t>
            </w:r>
          </w:p>
          <w:p w14:paraId="0900CF28" w14:textId="5A4D5D23" w:rsidR="002E4622" w:rsidRPr="009E06BB" w:rsidRDefault="002E4622" w:rsidP="007412C7">
            <w:pPr>
              <w:ind w:left="517" w:hanging="567"/>
              <w:rPr>
                <w:bCs/>
                <w:iCs/>
                <w:lang w:val="fr-CH"/>
              </w:rPr>
            </w:pPr>
            <w:r w:rsidRPr="009E06BB">
              <w:rPr>
                <w:lang w:val="fr-CH"/>
              </w:rPr>
              <w:t>0,0 =</w:t>
            </w:r>
            <w:r w:rsidRPr="009E06BB">
              <w:rPr>
                <w:lang w:val="fr-CH"/>
              </w:rPr>
              <w:tab/>
            </w:r>
            <w:r w:rsidR="00F31BC0">
              <w:rPr>
                <w:lang w:val="fr-CH"/>
              </w:rPr>
              <w:t xml:space="preserve">(D) </w:t>
            </w:r>
            <w:r w:rsidRPr="009E06BB">
              <w:rPr>
                <w:lang w:val="fr-CH"/>
              </w:rPr>
              <w:t>guère conforme, ou seulement de façon marginale, à la prestation à fournir</w:t>
            </w:r>
          </w:p>
          <w:p w14:paraId="7F17D678" w14:textId="77777777" w:rsidR="002E4622" w:rsidRPr="009E06BB" w:rsidRDefault="002E4622" w:rsidP="007412C7">
            <w:pPr>
              <w:rPr>
                <w:bCs/>
                <w:i/>
                <w:lang w:val="fr-CH"/>
              </w:rPr>
            </w:pPr>
          </w:p>
          <w:p w14:paraId="508BA87D" w14:textId="3AF0A4E9" w:rsidR="002E4622" w:rsidRPr="009E06BB" w:rsidRDefault="002E4622" w:rsidP="007412C7">
            <w:pPr>
              <w:rPr>
                <w:iCs/>
                <w:lang w:val="fr-CH"/>
              </w:rPr>
            </w:pPr>
            <w:r w:rsidRPr="009E06BB">
              <w:rPr>
                <w:lang w:val="fr-CH"/>
              </w:rPr>
              <w:t xml:space="preserve">Le score maximum pour toutes les exigences permet d’obtenir 3 points à l’évaluation. </w:t>
            </w:r>
            <w:r w:rsidR="00F31BC0">
              <w:rPr>
                <w:lang w:val="fr-CH"/>
              </w:rPr>
              <w:t>70</w:t>
            </w:r>
            <w:r w:rsidRPr="009E06BB">
              <w:rPr>
                <w:lang w:val="fr-CH"/>
              </w:rPr>
              <w:t>% du score maximum pour toutes les exigences correspondent à 0 point. Les valeurs intermédiaires obtiennent un nombre de points d’évaluation calculé de façon linéaire. Il est possible d’attribuer des notes arrondies ou décimales (p. ex. 2,75).</w:t>
            </w:r>
          </w:p>
        </w:tc>
        <w:tc>
          <w:tcPr>
            <w:tcW w:w="4819" w:type="dxa"/>
            <w:shd w:val="clear" w:color="auto" w:fill="FFF6C1"/>
          </w:tcPr>
          <w:p w14:paraId="39B8C56D" w14:textId="77777777" w:rsidR="00A12242" w:rsidRPr="009E06BB" w:rsidRDefault="00A12242" w:rsidP="00A12242">
            <w:pPr>
              <w:rPr>
                <w:b/>
                <w:lang w:val="fr-CH"/>
              </w:rPr>
            </w:pPr>
            <w:r w:rsidRPr="009E06BB">
              <w:rPr>
                <w:b/>
                <w:lang w:val="fr-CH"/>
              </w:rPr>
              <w:lastRenderedPageBreak/>
              <w:t>Remplissage du formulaire</w:t>
            </w:r>
            <w:r w:rsidRPr="009E06BB">
              <w:rPr>
                <w:b/>
                <w:lang w:val="fr-CH"/>
              </w:rPr>
              <w:br w:type="page"/>
            </w:r>
          </w:p>
          <w:p w14:paraId="555F7D4D" w14:textId="08E700F7" w:rsidR="002E4622" w:rsidRPr="009E06BB" w:rsidRDefault="002E4622" w:rsidP="007412C7">
            <w:pPr>
              <w:rPr>
                <w:lang w:val="fr-CH"/>
              </w:rPr>
            </w:pPr>
            <w:r w:rsidRPr="009E06BB">
              <w:rPr>
                <w:lang w:val="fr-CH"/>
              </w:rPr>
              <w:t>L’annexe «Évaluation des exigences» doit être remise dûment complétée, conformément au chapitre «Structure de l’offre» des DO.</w:t>
            </w:r>
          </w:p>
          <w:p w14:paraId="4B56DDBF" w14:textId="77777777" w:rsidR="002E4622" w:rsidRPr="009E06BB" w:rsidRDefault="002E4622" w:rsidP="007412C7">
            <w:pPr>
              <w:rPr>
                <w:lang w:val="fr-CH"/>
              </w:rPr>
            </w:pPr>
          </w:p>
          <w:p w14:paraId="5E85BC01" w14:textId="77777777" w:rsidR="002E4622" w:rsidRPr="009E06BB" w:rsidRDefault="002E4622" w:rsidP="007412C7">
            <w:pPr>
              <w:rPr>
                <w:lang w:val="fr-CH"/>
              </w:rPr>
            </w:pPr>
            <w:r w:rsidRPr="009E06BB">
              <w:rPr>
                <w:lang w:val="fr-CH"/>
              </w:rPr>
              <w:t>Remarques</w:t>
            </w:r>
          </w:p>
          <w:p w14:paraId="4B8A677A" w14:textId="4035C49F" w:rsidR="002E4622" w:rsidRPr="009E06BB" w:rsidRDefault="002E4622" w:rsidP="007412C7">
            <w:pPr>
              <w:rPr>
                <w:bCs/>
                <w:lang w:val="fr-CH"/>
              </w:rPr>
            </w:pPr>
            <w:r w:rsidRPr="009E06BB">
              <w:rPr>
                <w:lang w:val="fr-CH"/>
              </w:rPr>
              <w:fldChar w:fldCharType="begin">
                <w:ffData>
                  <w:name w:val="Text6"/>
                  <w:enabled/>
                  <w:calcOnExit w:val="0"/>
                  <w:textInput/>
                </w:ffData>
              </w:fldChar>
            </w:r>
            <w:r w:rsidRPr="009E06BB">
              <w:rPr>
                <w:lang w:val="fr-CH"/>
              </w:rPr>
              <w:instrText xml:space="preserve"> FORMTEXT </w:instrText>
            </w:r>
            <w:r w:rsidRPr="009E06BB">
              <w:rPr>
                <w:lang w:val="fr-CH"/>
              </w:rPr>
            </w:r>
            <w:r w:rsidRPr="009E06BB">
              <w:rPr>
                <w:lang w:val="fr-CH"/>
              </w:rPr>
              <w:fldChar w:fldCharType="separate"/>
            </w:r>
            <w:r w:rsidR="0049691F">
              <w:rPr>
                <w:noProof/>
                <w:lang w:val="fr-CH"/>
              </w:rPr>
              <w:t> </w:t>
            </w:r>
            <w:r w:rsidR="0049691F">
              <w:rPr>
                <w:noProof/>
                <w:lang w:val="fr-CH"/>
              </w:rPr>
              <w:t> </w:t>
            </w:r>
            <w:r w:rsidR="0049691F">
              <w:rPr>
                <w:noProof/>
                <w:lang w:val="fr-CH"/>
              </w:rPr>
              <w:t> </w:t>
            </w:r>
            <w:r w:rsidR="0049691F">
              <w:rPr>
                <w:noProof/>
                <w:lang w:val="fr-CH"/>
              </w:rPr>
              <w:t> </w:t>
            </w:r>
            <w:r w:rsidR="0049691F">
              <w:rPr>
                <w:noProof/>
                <w:lang w:val="fr-CH"/>
              </w:rPr>
              <w:t> </w:t>
            </w:r>
            <w:r w:rsidRPr="009E06BB">
              <w:rPr>
                <w:lang w:val="fr-CH"/>
              </w:rPr>
              <w:fldChar w:fldCharType="end"/>
            </w:r>
          </w:p>
        </w:tc>
      </w:tr>
      <w:tr w:rsidR="002E4622" w:rsidRPr="009E06BB" w14:paraId="4EFD8F8A" w14:textId="77777777" w:rsidTr="005B58F2">
        <w:trPr>
          <w:trHeight w:val="476"/>
          <w:tblHeader/>
        </w:trPr>
        <w:tc>
          <w:tcPr>
            <w:tcW w:w="647" w:type="dxa"/>
          </w:tcPr>
          <w:p w14:paraId="4AC7626C" w14:textId="77777777" w:rsidR="002E4622" w:rsidRPr="009E06BB" w:rsidRDefault="002E4622" w:rsidP="007412C7">
            <w:pPr>
              <w:rPr>
                <w:bCs/>
                <w:lang w:val="fr-CH"/>
              </w:rPr>
            </w:pPr>
            <w:r w:rsidRPr="009E06BB">
              <w:rPr>
                <w:lang w:val="fr-CH"/>
              </w:rPr>
              <w:t>1.2</w:t>
            </w:r>
          </w:p>
        </w:tc>
        <w:tc>
          <w:tcPr>
            <w:tcW w:w="3260" w:type="dxa"/>
            <w:shd w:val="clear" w:color="auto" w:fill="auto"/>
          </w:tcPr>
          <w:p w14:paraId="5E17AB77" w14:textId="77777777" w:rsidR="002E4622" w:rsidRPr="009E06BB" w:rsidRDefault="002E4622" w:rsidP="007412C7">
            <w:pPr>
              <w:rPr>
                <w:b/>
                <w:bCs/>
                <w:lang w:val="fr-CH"/>
              </w:rPr>
            </w:pPr>
            <w:r w:rsidRPr="009E06BB">
              <w:rPr>
                <w:b/>
                <w:lang w:val="fr-CH"/>
              </w:rPr>
              <w:t>Sécurité informatique</w:t>
            </w:r>
          </w:p>
          <w:p w14:paraId="4D19D317" w14:textId="77777777" w:rsidR="002E4622" w:rsidRPr="009E06BB" w:rsidRDefault="002E4622" w:rsidP="007412C7">
            <w:pPr>
              <w:rPr>
                <w:bCs/>
                <w:lang w:val="fr-CH"/>
              </w:rPr>
            </w:pPr>
          </w:p>
          <w:p w14:paraId="72C3F18B" w14:textId="2B78F82D" w:rsidR="002E4622" w:rsidRPr="009E06BB" w:rsidRDefault="002E4622" w:rsidP="007412C7">
            <w:pPr>
              <w:rPr>
                <w:bCs/>
                <w:lang w:val="fr-CH"/>
              </w:rPr>
            </w:pPr>
            <w:r w:rsidRPr="009E06BB">
              <w:rPr>
                <w:lang w:val="fr-CH"/>
              </w:rPr>
              <w:t>Pond. 2: 5%</w:t>
            </w:r>
          </w:p>
        </w:tc>
        <w:tc>
          <w:tcPr>
            <w:tcW w:w="6096" w:type="dxa"/>
            <w:shd w:val="clear" w:color="auto" w:fill="auto"/>
          </w:tcPr>
          <w:p w14:paraId="621659AE" w14:textId="77777777" w:rsidR="002E4622" w:rsidRPr="009E06BB" w:rsidRDefault="002E4622" w:rsidP="007412C7">
            <w:pPr>
              <w:rPr>
                <w:bCs/>
                <w:lang w:val="fr-CH"/>
              </w:rPr>
            </w:pPr>
            <w:r w:rsidRPr="009E06BB">
              <w:rPr>
                <w:lang w:val="fr-CH"/>
              </w:rPr>
              <w:t>En remplissant le formulaire «</w:t>
            </w:r>
            <w:r w:rsidRPr="009E06BB">
              <w:rPr>
                <w:i/>
                <w:lang w:val="fr-CH"/>
              </w:rPr>
              <w:t>Questionnaire sur la sécurité informatique</w:t>
            </w:r>
            <w:r w:rsidRPr="009E06BB">
              <w:rPr>
                <w:lang w:val="fr-CH"/>
              </w:rPr>
              <w:t xml:space="preserve">», le soumissionnaire présente les mesures prises par ses soins en matière de sécurité informatique pour les offres SaaS/Cloud. L’évaluation porte sur les mesures prises par le soumissionnaire pour la solution SaaS/Cloud proposée. </w:t>
            </w:r>
          </w:p>
          <w:p w14:paraId="0E7B4F8A" w14:textId="77777777" w:rsidR="002E4622" w:rsidRPr="009E06BB" w:rsidRDefault="002E4622" w:rsidP="007412C7">
            <w:pPr>
              <w:rPr>
                <w:bCs/>
                <w:lang w:val="fr-CH"/>
              </w:rPr>
            </w:pPr>
          </w:p>
          <w:p w14:paraId="2BA7271E" w14:textId="77777777" w:rsidR="002E4622" w:rsidRPr="009E06BB" w:rsidRDefault="002E4622" w:rsidP="007412C7">
            <w:pPr>
              <w:rPr>
                <w:bCs/>
                <w:lang w:val="fr-CH"/>
              </w:rPr>
            </w:pPr>
            <w:r w:rsidRPr="009E06BB">
              <w:rPr>
                <w:b/>
                <w:lang w:val="fr-CH"/>
              </w:rPr>
              <w:t>Principaux points d’observation</w:t>
            </w:r>
            <w:r w:rsidRPr="009E06BB">
              <w:rPr>
                <w:lang w:val="fr-CH"/>
              </w:rPr>
              <w:t xml:space="preserve"> </w:t>
            </w:r>
            <w:r w:rsidRPr="009E06BB">
              <w:rPr>
                <w:lang w:val="fr-CH"/>
              </w:rPr>
              <w:br/>
              <w:t>(liste non exhaustive)</w:t>
            </w:r>
          </w:p>
          <w:p w14:paraId="46947666" w14:textId="77777777" w:rsidR="002E4622" w:rsidRPr="009E06BB" w:rsidRDefault="002E4622" w:rsidP="007412C7">
            <w:pPr>
              <w:pStyle w:val="Aufzhlung"/>
              <w:rPr>
                <w:lang w:val="fr-CH"/>
              </w:rPr>
            </w:pPr>
            <w:r w:rsidRPr="009E06BB">
              <w:rPr>
                <w:lang w:val="fr-CH"/>
              </w:rPr>
              <w:t>Accès aux rapports d’audit</w:t>
            </w:r>
          </w:p>
          <w:p w14:paraId="488F125A" w14:textId="77777777" w:rsidR="002E4622" w:rsidRPr="009E06BB" w:rsidRDefault="002E4622" w:rsidP="007412C7">
            <w:pPr>
              <w:pStyle w:val="Aufzhlung"/>
              <w:rPr>
                <w:lang w:val="fr-CH"/>
              </w:rPr>
            </w:pPr>
            <w:r w:rsidRPr="009E06BB">
              <w:rPr>
                <w:lang w:val="fr-CH"/>
              </w:rPr>
              <w:lastRenderedPageBreak/>
              <w:t>Certifications existantes ou prévues dans le domaine de la sécurité</w:t>
            </w:r>
          </w:p>
          <w:p w14:paraId="33BFE4BB" w14:textId="77777777" w:rsidR="002E4622" w:rsidRPr="009E06BB" w:rsidRDefault="002E4622" w:rsidP="007412C7">
            <w:pPr>
              <w:pStyle w:val="Aufzhlung"/>
              <w:rPr>
                <w:lang w:val="fr-CH"/>
              </w:rPr>
            </w:pPr>
            <w:r w:rsidRPr="009E06BB">
              <w:rPr>
                <w:lang w:val="fr-CH"/>
              </w:rPr>
              <w:t>Contrôles de sécurité</w:t>
            </w:r>
          </w:p>
          <w:p w14:paraId="63B6B233" w14:textId="77777777" w:rsidR="002E4622" w:rsidRPr="009E06BB" w:rsidRDefault="002E4622" w:rsidP="007412C7">
            <w:pPr>
              <w:pStyle w:val="Aufzhlung"/>
              <w:rPr>
                <w:lang w:val="fr-CH"/>
              </w:rPr>
            </w:pPr>
            <w:r w:rsidRPr="009E06BB">
              <w:rPr>
                <w:lang w:val="fr-CH"/>
              </w:rPr>
              <w:t>Différenciation par rapport aux autres clients</w:t>
            </w:r>
          </w:p>
          <w:p w14:paraId="72DF2751" w14:textId="77777777" w:rsidR="002E4622" w:rsidRPr="009E06BB" w:rsidRDefault="002E4622" w:rsidP="007412C7">
            <w:pPr>
              <w:pStyle w:val="Aufzhlung"/>
              <w:rPr>
                <w:lang w:val="fr-CH"/>
              </w:rPr>
            </w:pPr>
            <w:r w:rsidRPr="009E06BB">
              <w:rPr>
                <w:lang w:val="fr-CH"/>
              </w:rPr>
              <w:t>Contrôle d’accès</w:t>
            </w:r>
          </w:p>
          <w:p w14:paraId="75F431A1" w14:textId="77777777" w:rsidR="002E4622" w:rsidRPr="009E06BB" w:rsidRDefault="002E4622" w:rsidP="007412C7">
            <w:pPr>
              <w:pStyle w:val="Aufzhlung"/>
              <w:rPr>
                <w:lang w:val="fr-CH"/>
              </w:rPr>
            </w:pPr>
            <w:r w:rsidRPr="009E06BB">
              <w:rPr>
                <w:lang w:val="fr-CH"/>
              </w:rPr>
              <w:t>Procédure de sauvegarde (back-up) et de restauration</w:t>
            </w:r>
          </w:p>
          <w:p w14:paraId="3420DA36" w14:textId="77777777" w:rsidR="002E4622" w:rsidRPr="009E06BB" w:rsidRDefault="002E4622" w:rsidP="007412C7">
            <w:pPr>
              <w:pStyle w:val="Aufzhlung"/>
              <w:rPr>
                <w:lang w:val="fr-CH"/>
              </w:rPr>
            </w:pPr>
            <w:r w:rsidRPr="009E06BB">
              <w:rPr>
                <w:lang w:val="fr-CH"/>
              </w:rPr>
              <w:t>Formations et perfectionnements</w:t>
            </w:r>
          </w:p>
          <w:p w14:paraId="6B6012AC" w14:textId="77777777" w:rsidR="002E4622" w:rsidRPr="009E06BB" w:rsidRDefault="002E4622" w:rsidP="007412C7">
            <w:pPr>
              <w:rPr>
                <w:bCs/>
                <w:lang w:val="fr-CH"/>
              </w:rPr>
            </w:pPr>
          </w:p>
          <w:p w14:paraId="5FB92E25" w14:textId="77777777" w:rsidR="002E4622" w:rsidRPr="009E06BB" w:rsidRDefault="002E4622" w:rsidP="007412C7">
            <w:pPr>
              <w:rPr>
                <w:b/>
                <w:bCs/>
                <w:iCs/>
                <w:lang w:val="fr-CH"/>
              </w:rPr>
            </w:pPr>
            <w:r w:rsidRPr="009E06BB">
              <w:rPr>
                <w:b/>
                <w:lang w:val="fr-CH"/>
              </w:rPr>
              <w:t>Échelle d’évaluation</w:t>
            </w:r>
          </w:p>
          <w:p w14:paraId="5E2C1D60" w14:textId="77777777" w:rsidR="002E4622" w:rsidRPr="009E06BB" w:rsidRDefault="002E4622" w:rsidP="007412C7">
            <w:pPr>
              <w:ind w:left="517" w:hanging="517"/>
              <w:rPr>
                <w:bCs/>
                <w:iCs/>
                <w:lang w:val="fr-CH"/>
              </w:rPr>
            </w:pPr>
            <w:r w:rsidRPr="009E06BB">
              <w:rPr>
                <w:lang w:val="fr-CH"/>
              </w:rPr>
              <w:t>3,0 =</w:t>
            </w:r>
            <w:r w:rsidRPr="009E06BB">
              <w:rPr>
                <w:lang w:val="fr-CH"/>
              </w:rPr>
              <w:tab/>
              <w:t>pleinement conforme aux exigences et attentes des CFF</w:t>
            </w:r>
          </w:p>
          <w:p w14:paraId="5D6FE735" w14:textId="77777777" w:rsidR="002E4622" w:rsidRPr="009E06BB" w:rsidRDefault="002E4622" w:rsidP="007412C7">
            <w:pPr>
              <w:ind w:left="517" w:hanging="517"/>
              <w:rPr>
                <w:bCs/>
                <w:iCs/>
                <w:lang w:val="fr-CH"/>
              </w:rPr>
            </w:pPr>
            <w:r w:rsidRPr="009E06BB">
              <w:rPr>
                <w:lang w:val="fr-CH"/>
              </w:rPr>
              <w:t>2,0 =</w:t>
            </w:r>
            <w:r w:rsidRPr="009E06BB">
              <w:rPr>
                <w:lang w:val="fr-CH"/>
              </w:rPr>
              <w:tab/>
              <w:t>conforme aux exigences et attentes des CFF avec des restrictions mineures</w:t>
            </w:r>
          </w:p>
          <w:p w14:paraId="2905B558" w14:textId="77777777" w:rsidR="002E4622" w:rsidRPr="009E06BB" w:rsidRDefault="002E4622" w:rsidP="007412C7">
            <w:pPr>
              <w:ind w:left="517" w:hanging="517"/>
              <w:rPr>
                <w:bCs/>
                <w:iCs/>
                <w:lang w:val="fr-CH"/>
              </w:rPr>
            </w:pPr>
            <w:r w:rsidRPr="009E06BB">
              <w:rPr>
                <w:lang w:val="fr-CH"/>
              </w:rPr>
              <w:t>1,0 =</w:t>
            </w:r>
            <w:r w:rsidRPr="009E06BB">
              <w:rPr>
                <w:lang w:val="fr-CH"/>
              </w:rPr>
              <w:tab/>
              <w:t>conforme aux exigences et attentes des CFF avec des restrictions importantes</w:t>
            </w:r>
          </w:p>
          <w:p w14:paraId="278EE0B5" w14:textId="77777777" w:rsidR="002E4622" w:rsidRDefault="002E4622" w:rsidP="007412C7">
            <w:pPr>
              <w:ind w:left="517" w:hanging="517"/>
              <w:rPr>
                <w:lang w:val="fr-CH"/>
              </w:rPr>
            </w:pPr>
            <w:r w:rsidRPr="009E06BB">
              <w:rPr>
                <w:lang w:val="fr-CH"/>
              </w:rPr>
              <w:t>0,0 =</w:t>
            </w:r>
            <w:r w:rsidRPr="009E06BB">
              <w:rPr>
                <w:lang w:val="fr-CH"/>
              </w:rPr>
              <w:tab/>
              <w:t>guère conforme, ou seulement de façon marginale, à la prestation à fournir</w:t>
            </w:r>
          </w:p>
          <w:p w14:paraId="5B0AC9AF" w14:textId="4AB1BA68" w:rsidR="00653162" w:rsidRPr="009E06BB" w:rsidRDefault="00653162" w:rsidP="00653162">
            <w:pPr>
              <w:rPr>
                <w:lang w:val="fr-CH"/>
              </w:rPr>
            </w:pPr>
            <w:r w:rsidRPr="00653162">
              <w:rPr>
                <w:lang w:val="fr-CH"/>
              </w:rPr>
              <w:t>L'évaluation peut être échelonnée ou le nombre de points peut également se situer entre les valeurs susmentionnées (par ex. 2,75).</w:t>
            </w:r>
          </w:p>
        </w:tc>
        <w:tc>
          <w:tcPr>
            <w:tcW w:w="4819" w:type="dxa"/>
            <w:shd w:val="clear" w:color="auto" w:fill="FFF6C1"/>
          </w:tcPr>
          <w:p w14:paraId="6E19F4DD" w14:textId="77777777" w:rsidR="00A12242" w:rsidRPr="009E06BB" w:rsidRDefault="00A12242" w:rsidP="00A12242">
            <w:pPr>
              <w:rPr>
                <w:b/>
                <w:lang w:val="fr-CH"/>
              </w:rPr>
            </w:pPr>
            <w:r w:rsidRPr="009E06BB">
              <w:rPr>
                <w:b/>
                <w:lang w:val="fr-CH"/>
              </w:rPr>
              <w:lastRenderedPageBreak/>
              <w:t>Remplissage du formulaire</w:t>
            </w:r>
            <w:r w:rsidRPr="009E06BB">
              <w:rPr>
                <w:b/>
                <w:lang w:val="fr-CH"/>
              </w:rPr>
              <w:br w:type="page"/>
            </w:r>
          </w:p>
          <w:p w14:paraId="47E81AD0" w14:textId="541EA643" w:rsidR="002E4622" w:rsidRPr="009E06BB" w:rsidRDefault="002E4622" w:rsidP="007412C7">
            <w:pPr>
              <w:rPr>
                <w:lang w:val="fr-CH"/>
              </w:rPr>
            </w:pPr>
            <w:r w:rsidRPr="009E06BB">
              <w:rPr>
                <w:lang w:val="fr-CH"/>
              </w:rPr>
              <w:t>L’annexe «Questionnaire sur la sécurité informatique» doit être remise dûment complétée, conformément au chapitre «Structure de l’offre» des DO.</w:t>
            </w:r>
          </w:p>
          <w:p w14:paraId="2E59680B" w14:textId="77777777" w:rsidR="002E4622" w:rsidRPr="009E06BB" w:rsidRDefault="002E4622" w:rsidP="007412C7">
            <w:pPr>
              <w:rPr>
                <w:b/>
                <w:lang w:val="fr-CH"/>
              </w:rPr>
            </w:pPr>
          </w:p>
          <w:p w14:paraId="36F9369A" w14:textId="059B0791" w:rsidR="002E4622" w:rsidRPr="009E06BB" w:rsidRDefault="002E4622" w:rsidP="007412C7">
            <w:pPr>
              <w:rPr>
                <w:lang w:val="fr-CH"/>
              </w:rPr>
            </w:pPr>
            <w:r w:rsidRPr="009E06BB">
              <w:rPr>
                <w:lang w:val="fr-CH"/>
              </w:rPr>
              <w:t xml:space="preserve">Les soumissionnaires certifiés ISO 27017 ou CSA STAR 2(3) répondent uniquement aux questions 1 à 5 et transmettent les certificats disponibles conformément au chapitre «Structure de l’offre» des </w:t>
            </w:r>
            <w:r w:rsidRPr="009E06BB">
              <w:rPr>
                <w:lang w:val="fr-CH"/>
              </w:rPr>
              <w:lastRenderedPageBreak/>
              <w:t xml:space="preserve">DO. Seuls les certificats ne datant pas de plus de trois ans sont autorisés. </w:t>
            </w:r>
          </w:p>
          <w:p w14:paraId="11B08C2A" w14:textId="77777777" w:rsidR="002E4622" w:rsidRPr="009E06BB" w:rsidRDefault="002E4622" w:rsidP="007412C7">
            <w:pPr>
              <w:rPr>
                <w:lang w:val="fr-CH"/>
              </w:rPr>
            </w:pPr>
          </w:p>
          <w:p w14:paraId="3CFDCF0C" w14:textId="77777777" w:rsidR="002E4622" w:rsidRPr="009E06BB" w:rsidRDefault="002E4622" w:rsidP="007412C7">
            <w:pPr>
              <w:rPr>
                <w:lang w:val="fr-CH"/>
              </w:rPr>
            </w:pPr>
            <w:r w:rsidRPr="009E06BB">
              <w:rPr>
                <w:lang w:val="fr-CH"/>
              </w:rPr>
              <w:t>Remarques:</w:t>
            </w:r>
          </w:p>
          <w:p w14:paraId="6FFCC424" w14:textId="41A7FBC3" w:rsidR="002E4622" w:rsidRPr="009E06BB" w:rsidRDefault="002E4622" w:rsidP="007412C7">
            <w:pPr>
              <w:rPr>
                <w:lang w:val="fr-CH"/>
              </w:rPr>
            </w:pPr>
            <w:r w:rsidRPr="009E06BB">
              <w:rPr>
                <w:lang w:val="fr-CH"/>
              </w:rPr>
              <w:fldChar w:fldCharType="begin">
                <w:ffData>
                  <w:name w:val="Text6"/>
                  <w:enabled/>
                  <w:calcOnExit w:val="0"/>
                  <w:textInput/>
                </w:ffData>
              </w:fldChar>
            </w:r>
            <w:r w:rsidRPr="009E06BB">
              <w:rPr>
                <w:lang w:val="fr-CH"/>
              </w:rPr>
              <w:instrText xml:space="preserve"> FORMTEXT </w:instrText>
            </w:r>
            <w:r w:rsidRPr="009E06BB">
              <w:rPr>
                <w:lang w:val="fr-CH"/>
              </w:rPr>
            </w:r>
            <w:r w:rsidRPr="009E06BB">
              <w:rPr>
                <w:lang w:val="fr-CH"/>
              </w:rPr>
              <w:fldChar w:fldCharType="separate"/>
            </w:r>
            <w:r w:rsidR="0049691F">
              <w:rPr>
                <w:noProof/>
                <w:lang w:val="fr-CH"/>
              </w:rPr>
              <w:t> </w:t>
            </w:r>
            <w:r w:rsidR="0049691F">
              <w:rPr>
                <w:noProof/>
                <w:lang w:val="fr-CH"/>
              </w:rPr>
              <w:t> </w:t>
            </w:r>
            <w:r w:rsidR="0049691F">
              <w:rPr>
                <w:noProof/>
                <w:lang w:val="fr-CH"/>
              </w:rPr>
              <w:t> </w:t>
            </w:r>
            <w:r w:rsidR="0049691F">
              <w:rPr>
                <w:noProof/>
                <w:lang w:val="fr-CH"/>
              </w:rPr>
              <w:t> </w:t>
            </w:r>
            <w:r w:rsidR="0049691F">
              <w:rPr>
                <w:noProof/>
                <w:lang w:val="fr-CH"/>
              </w:rPr>
              <w:t> </w:t>
            </w:r>
            <w:r w:rsidRPr="009E06BB">
              <w:rPr>
                <w:lang w:val="fr-CH"/>
              </w:rPr>
              <w:fldChar w:fldCharType="end"/>
            </w:r>
          </w:p>
        </w:tc>
      </w:tr>
      <w:tr w:rsidR="002E4622" w:rsidRPr="009E06BB" w14:paraId="3F8FAC42" w14:textId="77777777" w:rsidTr="005B58F2">
        <w:trPr>
          <w:trHeight w:val="476"/>
          <w:tblHeader/>
        </w:trPr>
        <w:tc>
          <w:tcPr>
            <w:tcW w:w="647" w:type="dxa"/>
          </w:tcPr>
          <w:p w14:paraId="5A15287D" w14:textId="77777777" w:rsidR="002E4622" w:rsidRPr="009E06BB" w:rsidRDefault="002E4622" w:rsidP="007412C7">
            <w:pPr>
              <w:rPr>
                <w:bCs/>
                <w:lang w:val="fr-CH"/>
              </w:rPr>
            </w:pPr>
            <w:r w:rsidRPr="009E06BB">
              <w:rPr>
                <w:lang w:val="fr-CH"/>
              </w:rPr>
              <w:lastRenderedPageBreak/>
              <w:t>1.3</w:t>
            </w:r>
          </w:p>
        </w:tc>
        <w:tc>
          <w:tcPr>
            <w:tcW w:w="3260" w:type="dxa"/>
            <w:shd w:val="clear" w:color="auto" w:fill="auto"/>
          </w:tcPr>
          <w:p w14:paraId="78BF2989" w14:textId="47D386D9" w:rsidR="002E4622" w:rsidRPr="009E06BB" w:rsidRDefault="002E4622" w:rsidP="007412C7">
            <w:pPr>
              <w:rPr>
                <w:b/>
                <w:bCs/>
                <w:lang w:val="fr-CH"/>
              </w:rPr>
            </w:pPr>
            <w:r w:rsidRPr="009E06BB">
              <w:rPr>
                <w:b/>
                <w:lang w:val="fr-CH"/>
              </w:rPr>
              <w:t>Présentation de l’offre</w:t>
            </w:r>
          </w:p>
          <w:p w14:paraId="58A95CB6" w14:textId="77777777" w:rsidR="002E4622" w:rsidRPr="009E06BB" w:rsidRDefault="002E4622" w:rsidP="007412C7">
            <w:pPr>
              <w:rPr>
                <w:bCs/>
                <w:lang w:val="fr-CH"/>
              </w:rPr>
            </w:pPr>
          </w:p>
          <w:p w14:paraId="74569A57" w14:textId="5AD597FC" w:rsidR="002E4622" w:rsidRPr="009E06BB" w:rsidRDefault="002E4622" w:rsidP="007412C7">
            <w:pPr>
              <w:rPr>
                <w:bCs/>
                <w:lang w:val="fr-CH"/>
              </w:rPr>
            </w:pPr>
            <w:r w:rsidRPr="009E06BB">
              <w:rPr>
                <w:lang w:val="fr-CH"/>
              </w:rPr>
              <w:t>Pond. 2: 5%</w:t>
            </w:r>
          </w:p>
        </w:tc>
        <w:tc>
          <w:tcPr>
            <w:tcW w:w="6096" w:type="dxa"/>
            <w:shd w:val="clear" w:color="auto" w:fill="auto"/>
          </w:tcPr>
          <w:p w14:paraId="25571B96" w14:textId="10F3125D" w:rsidR="00874197" w:rsidRPr="009E06BB" w:rsidRDefault="002E4622" w:rsidP="007412C7">
            <w:pPr>
              <w:rPr>
                <w:bCs/>
                <w:lang w:val="fr-CH"/>
              </w:rPr>
            </w:pPr>
            <w:r w:rsidRPr="009E06BB">
              <w:rPr>
                <w:lang w:val="fr-CH"/>
              </w:rPr>
              <w:t>Le jour de la présentation, le soumissionnaire a la possibilité de présenter l’entreprise candidate</w:t>
            </w:r>
            <w:r w:rsidR="009E09B6">
              <w:rPr>
                <w:lang w:val="fr-CH"/>
              </w:rPr>
              <w:t xml:space="preserve">, </w:t>
            </w:r>
            <w:r w:rsidRPr="009E06BB">
              <w:rPr>
                <w:lang w:val="fr-CH"/>
              </w:rPr>
              <w:t>l’offre globale</w:t>
            </w:r>
            <w:r w:rsidR="00EC723F">
              <w:rPr>
                <w:lang w:val="fr-CH"/>
              </w:rPr>
              <w:t xml:space="preserve"> et la tâche </w:t>
            </w:r>
            <w:r w:rsidR="005B787F">
              <w:rPr>
                <w:lang w:val="fr-CH"/>
              </w:rPr>
              <w:t>« </w:t>
            </w:r>
            <w:r w:rsidR="00EC723F">
              <w:rPr>
                <w:lang w:val="fr-CH"/>
              </w:rPr>
              <w:t>Schaffhouse</w:t>
            </w:r>
            <w:r w:rsidR="005B787F">
              <w:rPr>
                <w:lang w:val="fr-CH"/>
              </w:rPr>
              <w:t> »</w:t>
            </w:r>
            <w:r w:rsidRPr="009E06BB">
              <w:rPr>
                <w:lang w:val="fr-CH"/>
              </w:rPr>
              <w:t>. La nature et la teneur de la présentation sont évaluées par les CFF selon un système défini au préalable. Pour assurer l’efficacité de la procédure, CFF IM se réserve le droit de n’inviter à la présentation de l’offre que les soumissionnaires ayant encore une chance réelle d’obtenir le marché.</w:t>
            </w:r>
          </w:p>
          <w:p w14:paraId="5B0F5805" w14:textId="77777777" w:rsidR="0015728C" w:rsidRPr="009E06BB" w:rsidRDefault="0015728C" w:rsidP="007412C7">
            <w:pPr>
              <w:rPr>
                <w:u w:val="single"/>
                <w:lang w:val="fr-CH"/>
              </w:rPr>
            </w:pPr>
          </w:p>
          <w:p w14:paraId="09664610" w14:textId="5422EDF3" w:rsidR="002E4622" w:rsidRPr="009E06BB" w:rsidRDefault="002E4622" w:rsidP="007412C7">
            <w:pPr>
              <w:rPr>
                <w:b/>
                <w:bCs/>
                <w:lang w:val="fr-CH"/>
              </w:rPr>
            </w:pPr>
            <w:r w:rsidRPr="009E06BB">
              <w:rPr>
                <w:b/>
                <w:lang w:val="fr-CH"/>
              </w:rPr>
              <w:lastRenderedPageBreak/>
              <w:t>Principaux points d’observation</w:t>
            </w:r>
          </w:p>
          <w:p w14:paraId="339A7F7F" w14:textId="77777777" w:rsidR="002E4622" w:rsidRPr="009E06BB" w:rsidRDefault="002E4622" w:rsidP="007412C7">
            <w:pPr>
              <w:rPr>
                <w:lang w:val="fr-CH"/>
              </w:rPr>
            </w:pPr>
            <w:r w:rsidRPr="009E06BB">
              <w:rPr>
                <w:lang w:val="fr-CH"/>
              </w:rPr>
              <w:t>(liste non exhaustive)</w:t>
            </w:r>
          </w:p>
          <w:p w14:paraId="0431522B" w14:textId="7F2A7BE1" w:rsidR="00905978" w:rsidRDefault="00905978" w:rsidP="007412C7">
            <w:pPr>
              <w:pStyle w:val="Aufzhlung"/>
              <w:rPr>
                <w:lang w:val="fr-CH"/>
              </w:rPr>
            </w:pPr>
            <w:r>
              <w:rPr>
                <w:lang w:val="fr-CH"/>
              </w:rPr>
              <w:t>Conception gare de Schaffhouse</w:t>
            </w:r>
          </w:p>
          <w:p w14:paraId="491A0101" w14:textId="15A2089E" w:rsidR="002E4622" w:rsidRPr="009E06BB" w:rsidRDefault="002E4622" w:rsidP="007412C7">
            <w:pPr>
              <w:pStyle w:val="Aufzhlung"/>
              <w:rPr>
                <w:lang w:val="fr-CH"/>
              </w:rPr>
            </w:pPr>
            <w:r w:rsidRPr="009E06BB">
              <w:rPr>
                <w:lang w:val="fr-CH"/>
              </w:rPr>
              <w:t>Cohérence et plausibilité des informations</w:t>
            </w:r>
          </w:p>
          <w:p w14:paraId="05A5635A" w14:textId="77777777" w:rsidR="002E4622" w:rsidRPr="009E06BB" w:rsidRDefault="002E4622" w:rsidP="007412C7">
            <w:pPr>
              <w:pStyle w:val="Aufzhlung"/>
              <w:rPr>
                <w:lang w:val="fr-CH"/>
              </w:rPr>
            </w:pPr>
            <w:r w:rsidRPr="009E06BB">
              <w:rPr>
                <w:lang w:val="fr-CH"/>
              </w:rPr>
              <w:t>Qualité et cohérence des contenus</w:t>
            </w:r>
          </w:p>
          <w:p w14:paraId="34E11AF5" w14:textId="77777777" w:rsidR="002E4622" w:rsidRPr="009E06BB" w:rsidRDefault="002E4622" w:rsidP="007412C7">
            <w:pPr>
              <w:pStyle w:val="Aufzhlung"/>
              <w:rPr>
                <w:lang w:val="fr-CH"/>
              </w:rPr>
            </w:pPr>
            <w:r w:rsidRPr="009E06BB">
              <w:rPr>
                <w:lang w:val="fr-CH"/>
              </w:rPr>
              <w:t>Intelligibilité des contenus représentés</w:t>
            </w:r>
          </w:p>
          <w:p w14:paraId="5A41CA63" w14:textId="77777777" w:rsidR="002E4622" w:rsidRPr="009E06BB" w:rsidRDefault="002E4622" w:rsidP="007412C7">
            <w:pPr>
              <w:pStyle w:val="Aufzhlung"/>
              <w:rPr>
                <w:lang w:val="fr-CH"/>
              </w:rPr>
            </w:pPr>
            <w:r w:rsidRPr="009E06BB">
              <w:rPr>
                <w:lang w:val="fr-CH"/>
              </w:rPr>
              <w:t>Réponses complètes et claires aux questions</w:t>
            </w:r>
          </w:p>
          <w:p w14:paraId="6E27BF67" w14:textId="77777777" w:rsidR="00874A97" w:rsidRPr="009E06BB" w:rsidRDefault="00874A97" w:rsidP="00920D7A">
            <w:pPr>
              <w:pStyle w:val="Aufzhlung"/>
              <w:numPr>
                <w:ilvl w:val="0"/>
                <w:numId w:val="0"/>
              </w:numPr>
              <w:ind w:left="720" w:hanging="360"/>
              <w:rPr>
                <w:lang w:val="fr-CH"/>
              </w:rPr>
            </w:pPr>
          </w:p>
          <w:p w14:paraId="49FE60BA" w14:textId="62E06619" w:rsidR="00874A97" w:rsidRPr="009E06BB" w:rsidRDefault="00874A97" w:rsidP="00874A97">
            <w:pPr>
              <w:rPr>
                <w:b/>
                <w:bCs/>
                <w:iCs/>
                <w:lang w:val="fr-CH"/>
              </w:rPr>
            </w:pPr>
            <w:r w:rsidRPr="009E06BB">
              <w:rPr>
                <w:b/>
                <w:lang w:val="fr-CH"/>
              </w:rPr>
              <w:t>Échelle d’évaluation</w:t>
            </w:r>
          </w:p>
          <w:p w14:paraId="3ED19C42" w14:textId="77777777" w:rsidR="00874A97" w:rsidRPr="009E06BB" w:rsidRDefault="00874A97" w:rsidP="00874A97">
            <w:pPr>
              <w:ind w:left="517" w:hanging="517"/>
              <w:rPr>
                <w:bCs/>
                <w:iCs/>
                <w:lang w:val="fr-CH"/>
              </w:rPr>
            </w:pPr>
            <w:r w:rsidRPr="009E06BB">
              <w:rPr>
                <w:lang w:val="fr-CH"/>
              </w:rPr>
              <w:t>3,0 =</w:t>
            </w:r>
            <w:r w:rsidRPr="009E06BB">
              <w:rPr>
                <w:lang w:val="fr-CH"/>
              </w:rPr>
              <w:tab/>
              <w:t>pleinement conforme aux exigences et attentes des CFF</w:t>
            </w:r>
          </w:p>
          <w:p w14:paraId="0A645DE8" w14:textId="77777777" w:rsidR="00874A97" w:rsidRPr="009E06BB" w:rsidRDefault="00874A97" w:rsidP="00874A97">
            <w:pPr>
              <w:ind w:left="517" w:hanging="517"/>
              <w:rPr>
                <w:bCs/>
                <w:iCs/>
                <w:lang w:val="fr-CH"/>
              </w:rPr>
            </w:pPr>
            <w:r w:rsidRPr="009E06BB">
              <w:rPr>
                <w:lang w:val="fr-CH"/>
              </w:rPr>
              <w:t>2,0 =</w:t>
            </w:r>
            <w:r w:rsidRPr="009E06BB">
              <w:rPr>
                <w:lang w:val="fr-CH"/>
              </w:rPr>
              <w:tab/>
              <w:t>conforme aux exigences et attentes des CFF avec des restrictions mineures</w:t>
            </w:r>
          </w:p>
          <w:p w14:paraId="47733D29" w14:textId="77777777" w:rsidR="00874A97" w:rsidRPr="009E06BB" w:rsidRDefault="00874A97" w:rsidP="00874A97">
            <w:pPr>
              <w:ind w:left="517" w:hanging="517"/>
              <w:rPr>
                <w:bCs/>
                <w:iCs/>
                <w:lang w:val="fr-CH"/>
              </w:rPr>
            </w:pPr>
            <w:r w:rsidRPr="009E06BB">
              <w:rPr>
                <w:lang w:val="fr-CH"/>
              </w:rPr>
              <w:t>1,0 =</w:t>
            </w:r>
            <w:r w:rsidRPr="009E06BB">
              <w:rPr>
                <w:lang w:val="fr-CH"/>
              </w:rPr>
              <w:tab/>
              <w:t>conforme aux exigences et attentes des CFF avec des restrictions importantes</w:t>
            </w:r>
          </w:p>
          <w:p w14:paraId="41C1C7B2" w14:textId="6CA26E47" w:rsidR="005118E6" w:rsidRPr="009E06BB" w:rsidRDefault="00874A97" w:rsidP="00874A97">
            <w:pPr>
              <w:rPr>
                <w:bCs/>
                <w:iCs/>
                <w:lang w:val="fr-CH"/>
              </w:rPr>
            </w:pPr>
            <w:r w:rsidRPr="009E06BB">
              <w:rPr>
                <w:lang w:val="fr-CH"/>
              </w:rPr>
              <w:t>0,0 = guère conforme, ou seulement de façon marginale, à la prestation à fournir</w:t>
            </w:r>
          </w:p>
          <w:p w14:paraId="00E5EE3D" w14:textId="77777777" w:rsidR="005118E6" w:rsidRPr="009E06BB" w:rsidRDefault="005118E6" w:rsidP="00874A97">
            <w:pPr>
              <w:rPr>
                <w:bCs/>
                <w:iCs/>
                <w:lang w:val="fr-CH"/>
              </w:rPr>
            </w:pPr>
          </w:p>
          <w:p w14:paraId="7D4FAF8C" w14:textId="77777777" w:rsidR="004C12B8" w:rsidRPr="009E06BB" w:rsidRDefault="004C12B8" w:rsidP="004C12B8">
            <w:pPr>
              <w:pStyle w:val="Formatvorlage9ptVor2ptNach48ptZeilenabstandMindestens9"/>
              <w:spacing w:before="60" w:after="0"/>
              <w:rPr>
                <w:rFonts w:cs="Arial"/>
                <w:bCs/>
                <w:iCs/>
                <w:sz w:val="20"/>
                <w:lang w:val="fr-CH"/>
              </w:rPr>
            </w:pPr>
            <w:r w:rsidRPr="009E06BB">
              <w:rPr>
                <w:rFonts w:cs="Arial"/>
                <w:sz w:val="20"/>
                <w:lang w:val="fr-CH"/>
              </w:rPr>
              <w:t>Il est possible d’attribuer des notes arrondies ou décimales (p. ex. 2,75).</w:t>
            </w:r>
          </w:p>
          <w:p w14:paraId="750E91CE" w14:textId="77777777" w:rsidR="004C12B8" w:rsidRPr="009E06BB" w:rsidRDefault="004C12B8" w:rsidP="004C12B8">
            <w:pPr>
              <w:keepNext/>
              <w:pageBreakBefore/>
              <w:tabs>
                <w:tab w:val="left" w:pos="624"/>
              </w:tabs>
              <w:spacing w:before="120" w:after="120" w:line="259" w:lineRule="auto"/>
              <w:contextualSpacing/>
              <w:rPr>
                <w:rFonts w:cs="Arial"/>
                <w:bCs/>
                <w:iCs/>
                <w:szCs w:val="20"/>
                <w:lang w:val="fr-CH"/>
              </w:rPr>
            </w:pPr>
          </w:p>
          <w:p w14:paraId="4AFC8718" w14:textId="76B0A25D" w:rsidR="004C12B8" w:rsidRPr="009E06BB" w:rsidRDefault="004C12B8" w:rsidP="004C12B8">
            <w:pPr>
              <w:keepNext/>
              <w:tabs>
                <w:tab w:val="left" w:pos="403"/>
              </w:tabs>
              <w:spacing w:line="259" w:lineRule="auto"/>
              <w:rPr>
                <w:rFonts w:cs="Arial"/>
                <w:b/>
                <w:bCs/>
                <w:iCs/>
                <w:szCs w:val="20"/>
                <w:lang w:val="fr-CH"/>
              </w:rPr>
            </w:pPr>
            <w:r w:rsidRPr="009E06BB">
              <w:rPr>
                <w:rFonts w:cs="Arial"/>
                <w:b/>
                <w:lang w:val="fr-CH"/>
              </w:rPr>
              <w:t>Remarque pour l’évaluation</w:t>
            </w:r>
          </w:p>
          <w:p w14:paraId="3AD409BD" w14:textId="4B16D24E" w:rsidR="00920D7A" w:rsidRPr="009E06BB" w:rsidRDefault="004C12B8" w:rsidP="00874A97">
            <w:pPr>
              <w:rPr>
                <w:bCs/>
                <w:i/>
                <w:lang w:val="fr-CH"/>
              </w:rPr>
            </w:pPr>
            <w:r w:rsidRPr="009E06BB">
              <w:rPr>
                <w:rFonts w:cs="Arial"/>
                <w:lang w:val="fr-CH"/>
              </w:rPr>
              <w:t xml:space="preserve">La présentation </w:t>
            </w:r>
            <w:r w:rsidR="004B09F3">
              <w:rPr>
                <w:rFonts w:cs="Arial"/>
                <w:lang w:val="fr-CH"/>
              </w:rPr>
              <w:t>de la solution</w:t>
            </w:r>
            <w:r w:rsidRPr="009E06BB">
              <w:rPr>
                <w:rFonts w:cs="Arial"/>
                <w:lang w:val="fr-CH"/>
              </w:rPr>
              <w:t xml:space="preserve"> peut induire une réévaluation d’autres critères (p. ex. catalogue des exigences).</w:t>
            </w:r>
          </w:p>
        </w:tc>
        <w:tc>
          <w:tcPr>
            <w:tcW w:w="4819" w:type="dxa"/>
            <w:shd w:val="clear" w:color="auto" w:fill="FFF6C1"/>
          </w:tcPr>
          <w:p w14:paraId="73865E3D" w14:textId="3F7EBAA2" w:rsidR="002E4622" w:rsidRPr="009E06BB" w:rsidRDefault="002E4622" w:rsidP="007412C7">
            <w:pPr>
              <w:rPr>
                <w:lang w:val="fr-CH"/>
              </w:rPr>
            </w:pPr>
            <w:r w:rsidRPr="009E06BB">
              <w:rPr>
                <w:lang w:val="fr-CH"/>
              </w:rPr>
              <w:lastRenderedPageBreak/>
              <w:t xml:space="preserve">Conformément à l’annexe «Présentation de l’offre» des DO </w:t>
            </w:r>
          </w:p>
          <w:p w14:paraId="04DA4E6A" w14:textId="77777777" w:rsidR="002E4622" w:rsidRPr="009E06BB" w:rsidRDefault="002E4622" w:rsidP="007412C7">
            <w:pPr>
              <w:rPr>
                <w:lang w:val="fr-CH"/>
              </w:rPr>
            </w:pPr>
          </w:p>
          <w:p w14:paraId="45FEDC8C" w14:textId="77777777" w:rsidR="002E4622" w:rsidRPr="009E06BB" w:rsidRDefault="002E4622" w:rsidP="007412C7">
            <w:pPr>
              <w:rPr>
                <w:lang w:val="fr-CH"/>
              </w:rPr>
            </w:pPr>
            <w:r w:rsidRPr="009E06BB">
              <w:rPr>
                <w:lang w:val="fr-CH"/>
              </w:rPr>
              <w:t>Remarques</w:t>
            </w:r>
          </w:p>
          <w:p w14:paraId="5D5FCEDC" w14:textId="10008E5C" w:rsidR="002E4622" w:rsidRPr="009E06BB" w:rsidRDefault="002E4622" w:rsidP="007412C7">
            <w:pPr>
              <w:rPr>
                <w:lang w:val="fr-CH"/>
              </w:rPr>
            </w:pPr>
            <w:r w:rsidRPr="009E06BB">
              <w:rPr>
                <w:lang w:val="fr-CH"/>
              </w:rPr>
              <w:fldChar w:fldCharType="begin">
                <w:ffData>
                  <w:name w:val="Text6"/>
                  <w:enabled/>
                  <w:calcOnExit w:val="0"/>
                  <w:textInput/>
                </w:ffData>
              </w:fldChar>
            </w:r>
            <w:r w:rsidRPr="009E06BB">
              <w:rPr>
                <w:lang w:val="fr-CH"/>
              </w:rPr>
              <w:instrText xml:space="preserve"> FORMTEXT </w:instrText>
            </w:r>
            <w:r w:rsidRPr="009E06BB">
              <w:rPr>
                <w:lang w:val="fr-CH"/>
              </w:rPr>
            </w:r>
            <w:r w:rsidRPr="009E06BB">
              <w:rPr>
                <w:lang w:val="fr-CH"/>
              </w:rPr>
              <w:fldChar w:fldCharType="separate"/>
            </w:r>
            <w:r w:rsidR="0049691F">
              <w:rPr>
                <w:noProof/>
                <w:lang w:val="fr-CH"/>
              </w:rPr>
              <w:t> </w:t>
            </w:r>
            <w:r w:rsidR="0049691F">
              <w:rPr>
                <w:noProof/>
                <w:lang w:val="fr-CH"/>
              </w:rPr>
              <w:t> </w:t>
            </w:r>
            <w:r w:rsidR="0049691F">
              <w:rPr>
                <w:noProof/>
                <w:lang w:val="fr-CH"/>
              </w:rPr>
              <w:t> </w:t>
            </w:r>
            <w:r w:rsidR="0049691F">
              <w:rPr>
                <w:noProof/>
                <w:lang w:val="fr-CH"/>
              </w:rPr>
              <w:t> </w:t>
            </w:r>
            <w:r w:rsidR="0049691F">
              <w:rPr>
                <w:noProof/>
                <w:lang w:val="fr-CH"/>
              </w:rPr>
              <w:t> </w:t>
            </w:r>
            <w:r w:rsidRPr="009E06BB">
              <w:rPr>
                <w:lang w:val="fr-CH"/>
              </w:rPr>
              <w:fldChar w:fldCharType="end"/>
            </w:r>
          </w:p>
        </w:tc>
      </w:tr>
      <w:tr w:rsidR="002E4622" w:rsidRPr="009E06BB" w14:paraId="61806FE9" w14:textId="77777777" w:rsidTr="005B58F2">
        <w:trPr>
          <w:trHeight w:val="476"/>
          <w:tblHeader/>
        </w:trPr>
        <w:tc>
          <w:tcPr>
            <w:tcW w:w="647" w:type="dxa"/>
          </w:tcPr>
          <w:p w14:paraId="1E780D6C" w14:textId="77777777" w:rsidR="002E4622" w:rsidRPr="009E06BB" w:rsidRDefault="002E4622" w:rsidP="007412C7">
            <w:pPr>
              <w:rPr>
                <w:bCs/>
                <w:lang w:val="fr-CH"/>
              </w:rPr>
            </w:pPr>
            <w:r w:rsidRPr="009E06BB">
              <w:rPr>
                <w:lang w:val="fr-CH"/>
              </w:rPr>
              <w:t>1.4</w:t>
            </w:r>
          </w:p>
        </w:tc>
        <w:tc>
          <w:tcPr>
            <w:tcW w:w="3260" w:type="dxa"/>
            <w:shd w:val="clear" w:color="auto" w:fill="auto"/>
          </w:tcPr>
          <w:p w14:paraId="735562FE" w14:textId="26EA560C" w:rsidR="007436A4" w:rsidRPr="009E06BB" w:rsidRDefault="007436A4" w:rsidP="007436A4">
            <w:pPr>
              <w:pStyle w:val="Formatvorlage9ptVor2ptNach48ptZeilenabstandMindestens9"/>
              <w:spacing w:after="0" w:line="259" w:lineRule="auto"/>
              <w:contextualSpacing/>
              <w:rPr>
                <w:rFonts w:cs="Arial"/>
                <w:b/>
                <w:sz w:val="20"/>
                <w:lang w:val="fr-CH"/>
              </w:rPr>
            </w:pPr>
            <w:r w:rsidRPr="009E06BB">
              <w:rPr>
                <w:rFonts w:cs="Arial"/>
                <w:b/>
                <w:sz w:val="20"/>
                <w:lang w:val="fr-CH"/>
              </w:rPr>
              <w:t>Concept de solution</w:t>
            </w:r>
          </w:p>
          <w:p w14:paraId="00AE340A" w14:textId="77777777" w:rsidR="002E4622" w:rsidRPr="009E06BB" w:rsidRDefault="002E4622" w:rsidP="007412C7">
            <w:pPr>
              <w:rPr>
                <w:bCs/>
                <w:lang w:val="fr-CH"/>
              </w:rPr>
            </w:pPr>
          </w:p>
          <w:p w14:paraId="360F26FF" w14:textId="306E8C5A" w:rsidR="002E4622" w:rsidRPr="009E06BB" w:rsidRDefault="002E4622" w:rsidP="007412C7">
            <w:pPr>
              <w:rPr>
                <w:bCs/>
                <w:lang w:val="fr-CH"/>
              </w:rPr>
            </w:pPr>
            <w:r w:rsidRPr="009E06BB">
              <w:rPr>
                <w:lang w:val="fr-CH"/>
              </w:rPr>
              <w:t xml:space="preserve">Pond. 2: </w:t>
            </w:r>
            <w:r w:rsidR="00B21419">
              <w:rPr>
                <w:lang w:val="fr-CH"/>
              </w:rPr>
              <w:t>20</w:t>
            </w:r>
            <w:r w:rsidRPr="009E06BB">
              <w:rPr>
                <w:lang w:val="fr-CH"/>
              </w:rPr>
              <w:t>%</w:t>
            </w:r>
          </w:p>
          <w:p w14:paraId="7E57C36D" w14:textId="77777777" w:rsidR="002E4622" w:rsidRPr="009E06BB" w:rsidRDefault="002E4622" w:rsidP="007412C7">
            <w:pPr>
              <w:rPr>
                <w:b/>
                <w:lang w:val="fr-CH"/>
              </w:rPr>
            </w:pPr>
          </w:p>
        </w:tc>
        <w:tc>
          <w:tcPr>
            <w:tcW w:w="6096" w:type="dxa"/>
            <w:shd w:val="clear" w:color="auto" w:fill="auto"/>
          </w:tcPr>
          <w:p w14:paraId="6D4CD77A" w14:textId="004407ED" w:rsidR="00F26AA6" w:rsidRPr="009E06BB" w:rsidRDefault="007436A4" w:rsidP="007436A4">
            <w:pPr>
              <w:spacing w:line="259" w:lineRule="auto"/>
              <w:rPr>
                <w:lang w:val="fr-CH"/>
              </w:rPr>
            </w:pPr>
            <w:r w:rsidRPr="009E06BB">
              <w:rPr>
                <w:lang w:val="fr-CH"/>
              </w:rPr>
              <w:t>Le concept de solution décrit la solution du soumissionnaire. Les questions posées dans la description des prestations (annexe 11 des documents d’offre) doivent y être traitées. Le concept de solution doit répondre aux exigences formelles ci-après.</w:t>
            </w:r>
          </w:p>
          <w:p w14:paraId="406B3CCC" w14:textId="4322E2E7" w:rsidR="00CB6987" w:rsidRPr="009E06BB" w:rsidRDefault="00CB6987" w:rsidP="00CB6987">
            <w:pPr>
              <w:pStyle w:val="Aufzhlung"/>
              <w:rPr>
                <w:lang w:val="fr-CH"/>
              </w:rPr>
            </w:pPr>
            <w:r w:rsidRPr="009E06BB">
              <w:rPr>
                <w:lang w:val="fr-CH"/>
              </w:rPr>
              <w:lastRenderedPageBreak/>
              <w:t>Vingt</w:t>
            </w:r>
            <w:r w:rsidR="004B09F3">
              <w:rPr>
                <w:lang w:val="fr-CH"/>
              </w:rPr>
              <w:t>-trois</w:t>
            </w:r>
            <w:r w:rsidRPr="009E06BB">
              <w:rPr>
                <w:lang w:val="fr-CH"/>
              </w:rPr>
              <w:t xml:space="preserve"> (</w:t>
            </w:r>
            <w:r w:rsidR="004B09F3">
              <w:rPr>
                <w:lang w:val="fr-CH"/>
              </w:rPr>
              <w:t>23</w:t>
            </w:r>
            <w:r w:rsidRPr="009E06BB">
              <w:rPr>
                <w:lang w:val="fr-CH"/>
              </w:rPr>
              <w:t>) pages maximum de texte rédigé (police de caractères: Arial, taille de la police: 11 points, interligne: simple, marges: 2,5 cm)</w:t>
            </w:r>
          </w:p>
          <w:p w14:paraId="6D083AA5" w14:textId="1D736C30" w:rsidR="00CB6987" w:rsidRPr="009E06BB" w:rsidRDefault="00CB6987" w:rsidP="00CB6987">
            <w:pPr>
              <w:pStyle w:val="Aufzhlung"/>
              <w:rPr>
                <w:lang w:val="fr-CH"/>
              </w:rPr>
            </w:pPr>
            <w:r w:rsidRPr="009E06BB">
              <w:rPr>
                <w:lang w:val="fr-CH"/>
              </w:rPr>
              <w:t>Les mots-clés ne sont pas autorisés, sauf mention explicite contraire.</w:t>
            </w:r>
          </w:p>
          <w:p w14:paraId="70C722FA" w14:textId="59690E30" w:rsidR="00CB6987" w:rsidRPr="009E06BB" w:rsidRDefault="00CB6987" w:rsidP="00CB6987">
            <w:pPr>
              <w:pStyle w:val="Aufzhlung"/>
              <w:rPr>
                <w:lang w:val="fr-CH"/>
              </w:rPr>
            </w:pPr>
            <w:r w:rsidRPr="009E06BB">
              <w:rPr>
                <w:lang w:val="fr-CH"/>
              </w:rPr>
              <w:t xml:space="preserve">Des graphiques ou tableaux peuvent être ajoutés (aux </w:t>
            </w:r>
            <w:r w:rsidR="00E8680C">
              <w:rPr>
                <w:lang w:val="fr-CH"/>
              </w:rPr>
              <w:t>23</w:t>
            </w:r>
            <w:r w:rsidR="00E8680C" w:rsidRPr="009E06BB">
              <w:rPr>
                <w:lang w:val="fr-CH"/>
              </w:rPr>
              <w:t> </w:t>
            </w:r>
            <w:r w:rsidRPr="009E06BB">
              <w:rPr>
                <w:lang w:val="fr-CH"/>
              </w:rPr>
              <w:t>pages) en annexe s’ils permettent d’illustrer les textes rédigés.</w:t>
            </w:r>
          </w:p>
          <w:p w14:paraId="7BF55EFF" w14:textId="626663B7" w:rsidR="007436A4" w:rsidRPr="009E06BB" w:rsidRDefault="00F36197" w:rsidP="007436A4">
            <w:pPr>
              <w:spacing w:before="120" w:line="259" w:lineRule="auto"/>
              <w:rPr>
                <w:lang w:val="fr-CH"/>
              </w:rPr>
            </w:pPr>
            <w:r w:rsidRPr="009E06BB">
              <w:rPr>
                <w:lang w:val="fr-CH"/>
              </w:rPr>
              <w:t>Les descriptions générales de produits ne font pas partie du concept de solution.</w:t>
            </w:r>
          </w:p>
          <w:p w14:paraId="0D0C49C3" w14:textId="77777777" w:rsidR="0015728C" w:rsidRPr="009E06BB" w:rsidRDefault="0015728C" w:rsidP="007436A4">
            <w:pPr>
              <w:spacing w:before="120" w:line="259" w:lineRule="auto"/>
              <w:rPr>
                <w:rFonts w:cs="Arial"/>
                <w:bCs/>
                <w:szCs w:val="20"/>
                <w:lang w:val="fr-CH"/>
              </w:rPr>
            </w:pPr>
          </w:p>
          <w:p w14:paraId="0F4A68D5" w14:textId="77777777" w:rsidR="007436A4" w:rsidRPr="009E06BB" w:rsidRDefault="007436A4" w:rsidP="007436A4">
            <w:pPr>
              <w:widowControl w:val="0"/>
              <w:spacing w:before="120" w:line="259" w:lineRule="auto"/>
              <w:rPr>
                <w:rFonts w:cs="Arial"/>
                <w:bCs/>
                <w:lang w:val="fr-CH"/>
              </w:rPr>
            </w:pPr>
            <w:r w:rsidRPr="009E06BB">
              <w:rPr>
                <w:rFonts w:cs="Arial"/>
                <w:b/>
                <w:lang w:val="fr-CH"/>
              </w:rPr>
              <w:t>Principaux points d’observation</w:t>
            </w:r>
            <w:r w:rsidRPr="009E06BB">
              <w:rPr>
                <w:rFonts w:cs="Arial"/>
                <w:lang w:val="fr-CH"/>
              </w:rPr>
              <w:t xml:space="preserve"> </w:t>
            </w:r>
            <w:r w:rsidRPr="009E06BB">
              <w:rPr>
                <w:rFonts w:cs="Arial"/>
                <w:lang w:val="fr-CH"/>
              </w:rPr>
              <w:br/>
              <w:t>(liste non exhaustive)</w:t>
            </w:r>
          </w:p>
          <w:p w14:paraId="34A46129" w14:textId="50E37651" w:rsidR="007436A4" w:rsidRPr="009E06BB" w:rsidRDefault="00E01336" w:rsidP="000D420D">
            <w:pPr>
              <w:pStyle w:val="Aufzhlung"/>
              <w:rPr>
                <w:rFonts w:cs="Arial"/>
                <w:bCs/>
                <w:szCs w:val="20"/>
                <w:lang w:val="fr-CH"/>
              </w:rPr>
            </w:pPr>
            <w:r w:rsidRPr="009E06BB">
              <w:rPr>
                <w:rFonts w:cs="Arial"/>
                <w:lang w:val="fr-CH"/>
              </w:rPr>
              <w:t>L’ensemble des contenus et exigences requis a été traité et représenté de manière vérifiable.</w:t>
            </w:r>
          </w:p>
          <w:p w14:paraId="21303B10" w14:textId="413ED8CB" w:rsidR="007436A4" w:rsidRPr="009E06BB" w:rsidRDefault="00F21659" w:rsidP="000D420D">
            <w:pPr>
              <w:pStyle w:val="Aufzhlung"/>
              <w:rPr>
                <w:rFonts w:cs="Arial"/>
                <w:bCs/>
                <w:szCs w:val="20"/>
                <w:lang w:val="fr-CH"/>
              </w:rPr>
            </w:pPr>
            <w:r w:rsidRPr="009E06BB">
              <w:rPr>
                <w:rFonts w:cs="Arial"/>
                <w:lang w:val="fr-CH"/>
              </w:rPr>
              <w:t>La taille maximale a été respectée.</w:t>
            </w:r>
          </w:p>
          <w:p w14:paraId="7CF990FA" w14:textId="01D6E774" w:rsidR="004233F8" w:rsidRPr="009E06BB" w:rsidRDefault="004233F8" w:rsidP="000D420D">
            <w:pPr>
              <w:pStyle w:val="Aufzhlung"/>
              <w:rPr>
                <w:rFonts w:cs="Arial"/>
                <w:bCs/>
                <w:szCs w:val="20"/>
                <w:lang w:val="fr-CH"/>
              </w:rPr>
            </w:pPr>
            <w:r w:rsidRPr="009E06BB">
              <w:rPr>
                <w:rFonts w:cs="Arial"/>
                <w:lang w:val="fr-CH"/>
              </w:rPr>
              <w:t>La description montre que le soumissionnaire a examiné et compris les besoins de CFF IM.</w:t>
            </w:r>
          </w:p>
          <w:p w14:paraId="61C33386" w14:textId="31C73124" w:rsidR="00525AB6" w:rsidRPr="009E06BB" w:rsidRDefault="00525AB6" w:rsidP="000D420D">
            <w:pPr>
              <w:pStyle w:val="Aufzhlung"/>
              <w:rPr>
                <w:rFonts w:cs="Arial"/>
                <w:bCs/>
                <w:szCs w:val="20"/>
                <w:lang w:val="fr-CH"/>
              </w:rPr>
            </w:pPr>
            <w:r w:rsidRPr="009E06BB">
              <w:rPr>
                <w:rFonts w:cs="Arial"/>
                <w:lang w:val="fr-CH"/>
              </w:rPr>
              <w:t>Les solutions décrites devraient permettre de respecter les exigences définies.</w:t>
            </w:r>
          </w:p>
          <w:p w14:paraId="41B50B8B" w14:textId="4DCD9DCB" w:rsidR="00512F8A" w:rsidRPr="009E06BB" w:rsidRDefault="00512F8A" w:rsidP="000D420D">
            <w:pPr>
              <w:pStyle w:val="Aufzhlung"/>
              <w:rPr>
                <w:rFonts w:cs="Arial"/>
                <w:bCs/>
                <w:szCs w:val="20"/>
                <w:lang w:val="fr-CH"/>
              </w:rPr>
            </w:pPr>
            <w:r w:rsidRPr="009E06BB">
              <w:rPr>
                <w:rFonts w:cs="Arial"/>
                <w:lang w:val="fr-CH"/>
              </w:rPr>
              <w:t>Le concept est éloquent, intelligible, vérifiable, cohérent et justifié de manière plausible.</w:t>
            </w:r>
          </w:p>
          <w:p w14:paraId="190E7473" w14:textId="77777777" w:rsidR="007436A4" w:rsidRPr="009E06BB" w:rsidRDefault="007436A4" w:rsidP="000D420D">
            <w:pPr>
              <w:pStyle w:val="Aufzhlung"/>
              <w:rPr>
                <w:rFonts w:cs="Arial"/>
                <w:bCs/>
                <w:szCs w:val="20"/>
                <w:lang w:val="fr-CH"/>
              </w:rPr>
            </w:pPr>
            <w:r w:rsidRPr="009E06BB">
              <w:rPr>
                <w:rFonts w:cs="Arial"/>
                <w:lang w:val="fr-CH"/>
              </w:rPr>
              <w:t>Simplicité de la solution</w:t>
            </w:r>
          </w:p>
          <w:p w14:paraId="01D383A3" w14:textId="04DA1273" w:rsidR="00C62071" w:rsidRPr="009E06BB" w:rsidRDefault="007436A4" w:rsidP="0015728C">
            <w:pPr>
              <w:pStyle w:val="Aufzhlung"/>
              <w:rPr>
                <w:rFonts w:cs="Arial"/>
                <w:bCs/>
                <w:szCs w:val="20"/>
                <w:lang w:val="fr-CH"/>
              </w:rPr>
            </w:pPr>
            <w:r w:rsidRPr="009E06BB">
              <w:rPr>
                <w:rFonts w:cs="Arial"/>
                <w:lang w:val="fr-CH"/>
              </w:rPr>
              <w:t>Simplicité de l’intégration de la solution</w:t>
            </w:r>
          </w:p>
          <w:p w14:paraId="3D027ECC" w14:textId="77777777" w:rsidR="0015728C" w:rsidRPr="009E06BB" w:rsidRDefault="0015728C" w:rsidP="0015728C">
            <w:pPr>
              <w:pStyle w:val="Aufzhlung"/>
              <w:numPr>
                <w:ilvl w:val="0"/>
                <w:numId w:val="0"/>
              </w:numPr>
              <w:ind w:left="720" w:hanging="360"/>
              <w:rPr>
                <w:rFonts w:cs="Arial"/>
                <w:bCs/>
                <w:szCs w:val="20"/>
                <w:lang w:val="fr-CH"/>
              </w:rPr>
            </w:pPr>
          </w:p>
          <w:p w14:paraId="38059A33" w14:textId="77777777" w:rsidR="00C62071" w:rsidRPr="009E06BB" w:rsidRDefault="00C62071" w:rsidP="00C62071">
            <w:pPr>
              <w:rPr>
                <w:b/>
                <w:bCs/>
                <w:iCs/>
                <w:lang w:val="fr-CH"/>
              </w:rPr>
            </w:pPr>
            <w:r w:rsidRPr="009E06BB">
              <w:rPr>
                <w:b/>
                <w:lang w:val="fr-CH"/>
              </w:rPr>
              <w:t>Échelle d’évaluation</w:t>
            </w:r>
          </w:p>
          <w:p w14:paraId="3D52C285" w14:textId="77777777" w:rsidR="00F76B3B" w:rsidRPr="009E06BB" w:rsidRDefault="00F76B3B" w:rsidP="00F76B3B">
            <w:pPr>
              <w:ind w:left="517" w:hanging="517"/>
              <w:rPr>
                <w:bCs/>
                <w:iCs/>
                <w:lang w:val="fr-CH"/>
              </w:rPr>
            </w:pPr>
            <w:r w:rsidRPr="009E06BB">
              <w:rPr>
                <w:lang w:val="fr-CH"/>
              </w:rPr>
              <w:t>3,0 =</w:t>
            </w:r>
            <w:r w:rsidRPr="009E06BB">
              <w:rPr>
                <w:lang w:val="fr-CH"/>
              </w:rPr>
              <w:tab/>
              <w:t>pleinement conforme aux exigences et attentes des CFF</w:t>
            </w:r>
          </w:p>
          <w:p w14:paraId="2AFD3D49" w14:textId="77777777" w:rsidR="00F76B3B" w:rsidRPr="009E06BB" w:rsidRDefault="00F76B3B" w:rsidP="00F76B3B">
            <w:pPr>
              <w:ind w:left="517" w:hanging="517"/>
              <w:rPr>
                <w:bCs/>
                <w:iCs/>
                <w:lang w:val="fr-CH"/>
              </w:rPr>
            </w:pPr>
            <w:r w:rsidRPr="009E06BB">
              <w:rPr>
                <w:lang w:val="fr-CH"/>
              </w:rPr>
              <w:t>2,0 =</w:t>
            </w:r>
            <w:r w:rsidRPr="009E06BB">
              <w:rPr>
                <w:lang w:val="fr-CH"/>
              </w:rPr>
              <w:tab/>
              <w:t>conforme aux exigences et attentes des CFF avec des restrictions mineures</w:t>
            </w:r>
          </w:p>
          <w:p w14:paraId="5024F29C" w14:textId="77777777" w:rsidR="00F76B3B" w:rsidRPr="009E06BB" w:rsidRDefault="00F76B3B" w:rsidP="00F76B3B">
            <w:pPr>
              <w:ind w:left="517" w:hanging="517"/>
              <w:rPr>
                <w:bCs/>
                <w:iCs/>
                <w:lang w:val="fr-CH"/>
              </w:rPr>
            </w:pPr>
            <w:r w:rsidRPr="009E06BB">
              <w:rPr>
                <w:lang w:val="fr-CH"/>
              </w:rPr>
              <w:lastRenderedPageBreak/>
              <w:t>1,0 =</w:t>
            </w:r>
            <w:r w:rsidRPr="009E06BB">
              <w:rPr>
                <w:lang w:val="fr-CH"/>
              </w:rPr>
              <w:tab/>
              <w:t>conforme aux exigences et attentes des CFF avec des restrictions importantes</w:t>
            </w:r>
          </w:p>
          <w:p w14:paraId="347C2363" w14:textId="77777777" w:rsidR="00F76B3B" w:rsidRPr="009E06BB" w:rsidRDefault="00F76B3B" w:rsidP="005B58F2">
            <w:pPr>
              <w:ind w:left="515" w:hanging="515"/>
              <w:rPr>
                <w:bCs/>
                <w:iCs/>
                <w:lang w:val="fr-CH"/>
              </w:rPr>
            </w:pPr>
            <w:r w:rsidRPr="009E06BB">
              <w:rPr>
                <w:lang w:val="fr-CH"/>
              </w:rPr>
              <w:t>0,0 = guère conforme, ou seulement de façon marginale, à la prestation à fournir</w:t>
            </w:r>
          </w:p>
          <w:p w14:paraId="5B7EC2BE" w14:textId="77777777" w:rsidR="00711C99" w:rsidRDefault="00711C99" w:rsidP="00E473FE">
            <w:pPr>
              <w:pStyle w:val="Formatvorlage9ptVor2ptNach48ptZeilenabstandMindestens9"/>
              <w:spacing w:before="60" w:after="0"/>
              <w:rPr>
                <w:rFonts w:cs="Arial"/>
                <w:sz w:val="20"/>
                <w:lang w:val="fr-CH"/>
              </w:rPr>
            </w:pPr>
          </w:p>
          <w:p w14:paraId="76A995D2" w14:textId="58C5CC10" w:rsidR="002E4622" w:rsidRPr="009E06BB" w:rsidRDefault="00E473FE" w:rsidP="005B58F2">
            <w:pPr>
              <w:pStyle w:val="Formatvorlage9ptVor2ptNach48ptZeilenabstandMindestens9"/>
              <w:spacing w:before="60" w:after="0"/>
              <w:rPr>
                <w:lang w:val="fr-CH"/>
              </w:rPr>
            </w:pPr>
            <w:r w:rsidRPr="009E06BB">
              <w:rPr>
                <w:rFonts w:cs="Arial"/>
                <w:sz w:val="20"/>
                <w:lang w:val="fr-CH"/>
              </w:rPr>
              <w:t>Il est possible d’attribuer des notes arrondies ou décimales (p. ex. 2,75).</w:t>
            </w:r>
          </w:p>
        </w:tc>
        <w:tc>
          <w:tcPr>
            <w:tcW w:w="4819" w:type="dxa"/>
            <w:shd w:val="clear" w:color="auto" w:fill="FFF6C1"/>
          </w:tcPr>
          <w:p w14:paraId="37E9D7E3" w14:textId="77777777" w:rsidR="007436A4" w:rsidRPr="009E06BB" w:rsidRDefault="007436A4" w:rsidP="007436A4">
            <w:pPr>
              <w:spacing w:line="259" w:lineRule="auto"/>
              <w:rPr>
                <w:rFonts w:cs="Arial"/>
                <w:b/>
                <w:szCs w:val="20"/>
                <w:lang w:val="fr-CH"/>
              </w:rPr>
            </w:pPr>
            <w:r w:rsidRPr="009E06BB">
              <w:rPr>
                <w:rFonts w:cs="Arial"/>
                <w:b/>
                <w:lang w:val="fr-CH"/>
              </w:rPr>
              <w:lastRenderedPageBreak/>
              <w:t>Remise du document</w:t>
            </w:r>
          </w:p>
          <w:p w14:paraId="606B7069" w14:textId="28A52418" w:rsidR="007436A4" w:rsidRPr="009E06BB" w:rsidRDefault="007436A4" w:rsidP="007436A4">
            <w:pPr>
              <w:spacing w:line="259" w:lineRule="auto"/>
              <w:contextualSpacing/>
              <w:rPr>
                <w:rFonts w:cs="Arial"/>
                <w:lang w:val="fr-CH"/>
              </w:rPr>
            </w:pPr>
            <w:r w:rsidRPr="009E06BB">
              <w:rPr>
                <w:rFonts w:cs="Arial"/>
                <w:lang w:val="fr-CH"/>
              </w:rPr>
              <w:t>Le concept de solution doit être remis conformément au chapitre «Structure de l’offre» des DO.</w:t>
            </w:r>
          </w:p>
          <w:p w14:paraId="1CF94BA0" w14:textId="77777777" w:rsidR="002E4622" w:rsidRPr="009E06BB" w:rsidRDefault="002E4622" w:rsidP="007412C7">
            <w:pPr>
              <w:rPr>
                <w:lang w:val="fr-CH"/>
              </w:rPr>
            </w:pPr>
          </w:p>
          <w:p w14:paraId="22D7094D" w14:textId="77777777" w:rsidR="002E4622" w:rsidRPr="009E06BB" w:rsidRDefault="002E4622" w:rsidP="007412C7">
            <w:pPr>
              <w:rPr>
                <w:lang w:val="fr-CH"/>
              </w:rPr>
            </w:pPr>
            <w:r w:rsidRPr="009E06BB">
              <w:rPr>
                <w:lang w:val="fr-CH"/>
              </w:rPr>
              <w:lastRenderedPageBreak/>
              <w:t>Remarques</w:t>
            </w:r>
          </w:p>
          <w:p w14:paraId="2E8C9016" w14:textId="4C25C29E" w:rsidR="002E4622" w:rsidRPr="009E06BB" w:rsidRDefault="002E4622" w:rsidP="007412C7">
            <w:pPr>
              <w:rPr>
                <w:u w:val="single"/>
                <w:lang w:val="fr-CH"/>
              </w:rPr>
            </w:pPr>
            <w:r w:rsidRPr="009E06BB">
              <w:rPr>
                <w:lang w:val="fr-CH"/>
              </w:rPr>
              <w:fldChar w:fldCharType="begin">
                <w:ffData>
                  <w:name w:val="Text6"/>
                  <w:enabled/>
                  <w:calcOnExit w:val="0"/>
                  <w:textInput/>
                </w:ffData>
              </w:fldChar>
            </w:r>
            <w:r w:rsidRPr="009E06BB">
              <w:rPr>
                <w:lang w:val="fr-CH"/>
              </w:rPr>
              <w:instrText xml:space="preserve"> FORMTEXT </w:instrText>
            </w:r>
            <w:r w:rsidRPr="009E06BB">
              <w:rPr>
                <w:lang w:val="fr-CH"/>
              </w:rPr>
            </w:r>
            <w:r w:rsidRPr="009E06BB">
              <w:rPr>
                <w:lang w:val="fr-CH"/>
              </w:rPr>
              <w:fldChar w:fldCharType="separate"/>
            </w:r>
            <w:r w:rsidR="0049691F">
              <w:rPr>
                <w:noProof/>
                <w:lang w:val="fr-CH"/>
              </w:rPr>
              <w:t> </w:t>
            </w:r>
            <w:r w:rsidR="0049691F">
              <w:rPr>
                <w:noProof/>
                <w:lang w:val="fr-CH"/>
              </w:rPr>
              <w:t> </w:t>
            </w:r>
            <w:r w:rsidR="0049691F">
              <w:rPr>
                <w:noProof/>
                <w:lang w:val="fr-CH"/>
              </w:rPr>
              <w:t> </w:t>
            </w:r>
            <w:r w:rsidR="0049691F">
              <w:rPr>
                <w:noProof/>
                <w:lang w:val="fr-CH"/>
              </w:rPr>
              <w:t> </w:t>
            </w:r>
            <w:r w:rsidR="0049691F">
              <w:rPr>
                <w:noProof/>
                <w:lang w:val="fr-CH"/>
              </w:rPr>
              <w:t> </w:t>
            </w:r>
            <w:r w:rsidRPr="009E06BB">
              <w:rPr>
                <w:lang w:val="fr-CH"/>
              </w:rPr>
              <w:fldChar w:fldCharType="end"/>
            </w:r>
          </w:p>
        </w:tc>
      </w:tr>
      <w:tr w:rsidR="002E4622" w:rsidRPr="009E06BB" w14:paraId="2D4D90A4" w14:textId="77777777" w:rsidTr="005B58F2">
        <w:trPr>
          <w:trHeight w:val="476"/>
          <w:tblHeader/>
        </w:trPr>
        <w:tc>
          <w:tcPr>
            <w:tcW w:w="647" w:type="dxa"/>
          </w:tcPr>
          <w:p w14:paraId="45DFA4C0" w14:textId="77777777" w:rsidR="002E4622" w:rsidRPr="009E06BB" w:rsidRDefault="002E4622" w:rsidP="007412C7">
            <w:pPr>
              <w:rPr>
                <w:bCs/>
                <w:lang w:val="fr-CH"/>
              </w:rPr>
            </w:pPr>
            <w:r w:rsidRPr="009E06BB">
              <w:rPr>
                <w:lang w:val="fr-CH"/>
              </w:rPr>
              <w:lastRenderedPageBreak/>
              <w:t>1.5</w:t>
            </w:r>
          </w:p>
        </w:tc>
        <w:tc>
          <w:tcPr>
            <w:tcW w:w="3260" w:type="dxa"/>
            <w:shd w:val="clear" w:color="auto" w:fill="auto"/>
          </w:tcPr>
          <w:p w14:paraId="2FC030BE" w14:textId="5B76015D" w:rsidR="002E4622" w:rsidRPr="009E06BB" w:rsidRDefault="00616E1C" w:rsidP="007412C7">
            <w:pPr>
              <w:rPr>
                <w:b/>
                <w:bCs/>
                <w:lang w:val="fr-CH"/>
              </w:rPr>
            </w:pPr>
            <w:r w:rsidRPr="009E06BB">
              <w:rPr>
                <w:b/>
                <w:lang w:val="fr-CH"/>
              </w:rPr>
              <w:t>Tâche «Schaffhouse»</w:t>
            </w:r>
          </w:p>
          <w:p w14:paraId="7B1ABE70" w14:textId="77777777" w:rsidR="002E4622" w:rsidRPr="009E06BB" w:rsidRDefault="002E4622" w:rsidP="007412C7">
            <w:pPr>
              <w:rPr>
                <w:bCs/>
                <w:lang w:val="fr-CH"/>
              </w:rPr>
            </w:pPr>
          </w:p>
          <w:p w14:paraId="4C08D196" w14:textId="445349AF" w:rsidR="002E4622" w:rsidRPr="009E06BB" w:rsidRDefault="002E4622" w:rsidP="007412C7">
            <w:pPr>
              <w:rPr>
                <w:bCs/>
                <w:lang w:val="fr-CH"/>
              </w:rPr>
            </w:pPr>
            <w:r w:rsidRPr="009E06BB">
              <w:rPr>
                <w:lang w:val="fr-CH"/>
              </w:rPr>
              <w:t xml:space="preserve">Pond. 2: </w:t>
            </w:r>
            <w:r w:rsidR="00385B1F">
              <w:rPr>
                <w:lang w:val="fr-CH"/>
              </w:rPr>
              <w:t>5</w:t>
            </w:r>
            <w:r w:rsidRPr="009E06BB">
              <w:rPr>
                <w:lang w:val="fr-CH"/>
              </w:rPr>
              <w:t>%</w:t>
            </w:r>
          </w:p>
          <w:p w14:paraId="095D4DEC" w14:textId="77777777" w:rsidR="002E4622" w:rsidRPr="009E06BB" w:rsidRDefault="002E4622" w:rsidP="007412C7">
            <w:pPr>
              <w:rPr>
                <w:b/>
                <w:lang w:val="fr-CH"/>
              </w:rPr>
            </w:pPr>
          </w:p>
        </w:tc>
        <w:tc>
          <w:tcPr>
            <w:tcW w:w="6096" w:type="dxa"/>
            <w:shd w:val="clear" w:color="auto" w:fill="auto"/>
          </w:tcPr>
          <w:p w14:paraId="5B8315D3" w14:textId="452CDB28" w:rsidR="002E4622" w:rsidRPr="009E06BB" w:rsidRDefault="00E33D73" w:rsidP="007412C7">
            <w:pPr>
              <w:rPr>
                <w:lang w:val="fr-CH"/>
              </w:rPr>
            </w:pPr>
            <w:r w:rsidRPr="009E06BB">
              <w:rPr>
                <w:lang w:val="fr-CH"/>
              </w:rPr>
              <w:t>À l’exemple de la gare de Schaffhouse, le soumissionnaire doit indiquer la manière dont il concevrait une nouvelle gare, c’est-à-dire une gare qui n’est pas encore équipée. Les plans joints doivent être pris en compte.</w:t>
            </w:r>
          </w:p>
          <w:p w14:paraId="4EE9173E" w14:textId="77777777" w:rsidR="002E4622" w:rsidRPr="009E06BB" w:rsidRDefault="002E4622" w:rsidP="007412C7">
            <w:pPr>
              <w:rPr>
                <w:lang w:val="fr-CH"/>
              </w:rPr>
            </w:pPr>
          </w:p>
          <w:p w14:paraId="5F2D8C53" w14:textId="2CC0E8D2" w:rsidR="002E4622" w:rsidRPr="009E06BB" w:rsidRDefault="002E4622" w:rsidP="007412C7">
            <w:pPr>
              <w:rPr>
                <w:b/>
                <w:bCs/>
                <w:lang w:val="fr-CH"/>
              </w:rPr>
            </w:pPr>
            <w:r w:rsidRPr="009E06BB">
              <w:rPr>
                <w:b/>
                <w:lang w:val="fr-CH"/>
              </w:rPr>
              <w:t>Principaux points d’observation</w:t>
            </w:r>
          </w:p>
          <w:p w14:paraId="300DEF99" w14:textId="21325E13" w:rsidR="0057592C" w:rsidRPr="009E06BB" w:rsidRDefault="0057592C" w:rsidP="007412C7">
            <w:pPr>
              <w:rPr>
                <w:lang w:val="fr-CH"/>
              </w:rPr>
            </w:pPr>
            <w:r w:rsidRPr="009E06BB">
              <w:rPr>
                <w:lang w:val="fr-CH"/>
              </w:rPr>
              <w:t>(liste non exhaustive)</w:t>
            </w:r>
          </w:p>
          <w:p w14:paraId="716D2E15" w14:textId="5F56F029" w:rsidR="002E4622" w:rsidRPr="009E06BB" w:rsidRDefault="00920D7A" w:rsidP="007412C7">
            <w:pPr>
              <w:pStyle w:val="Aufzhlung"/>
              <w:rPr>
                <w:lang w:val="fr-CH"/>
              </w:rPr>
            </w:pPr>
            <w:r w:rsidRPr="009E06BB">
              <w:rPr>
                <w:rFonts w:cs="Arial"/>
                <w:lang w:val="fr-CH"/>
              </w:rPr>
              <w:t>Exhaustivité des informations demandées</w:t>
            </w:r>
          </w:p>
          <w:p w14:paraId="048DC4FB" w14:textId="25484271" w:rsidR="002E4622" w:rsidRPr="009E06BB" w:rsidRDefault="00C62071" w:rsidP="007412C7">
            <w:pPr>
              <w:pStyle w:val="Aufzhlung"/>
              <w:rPr>
                <w:lang w:val="fr-CH"/>
              </w:rPr>
            </w:pPr>
            <w:r w:rsidRPr="009E06BB">
              <w:rPr>
                <w:rFonts w:cs="Arial"/>
                <w:lang w:val="fr-CH"/>
              </w:rPr>
              <w:t>Traçabilité/intelligibilité</w:t>
            </w:r>
            <w:r w:rsidRPr="009E06BB">
              <w:rPr>
                <w:lang w:val="fr-CH"/>
              </w:rPr>
              <w:t xml:space="preserve"> des informations</w:t>
            </w:r>
          </w:p>
          <w:p w14:paraId="29EC1F14" w14:textId="6029B1F4" w:rsidR="002E4622" w:rsidRPr="009E06BB" w:rsidRDefault="007A03E6" w:rsidP="007412C7">
            <w:pPr>
              <w:pStyle w:val="Aufzhlung"/>
              <w:rPr>
                <w:lang w:val="fr-CH"/>
              </w:rPr>
            </w:pPr>
            <w:r w:rsidRPr="009E06BB">
              <w:rPr>
                <w:lang w:val="fr-CH"/>
              </w:rPr>
              <w:t>Nombre/site de montage des appareils de mesure nécessaires</w:t>
            </w:r>
          </w:p>
          <w:p w14:paraId="2CAE3C55" w14:textId="77777777" w:rsidR="0042007B" w:rsidRPr="009E06BB" w:rsidRDefault="0042007B" w:rsidP="007412C7">
            <w:pPr>
              <w:pStyle w:val="Aufzhlung"/>
              <w:rPr>
                <w:lang w:val="fr-CH"/>
              </w:rPr>
            </w:pPr>
            <w:r w:rsidRPr="009E06BB">
              <w:rPr>
                <w:lang w:val="fr-CH"/>
              </w:rPr>
              <w:t>Volume du câblage nécessaire</w:t>
            </w:r>
          </w:p>
          <w:p w14:paraId="408A4AA2" w14:textId="2E7BF39B" w:rsidR="007A7C1F" w:rsidRPr="009E06BB" w:rsidRDefault="007A7C1F" w:rsidP="007412C7">
            <w:pPr>
              <w:pStyle w:val="Aufzhlung"/>
              <w:rPr>
                <w:lang w:val="fr-CH"/>
              </w:rPr>
            </w:pPr>
            <w:r w:rsidRPr="009E06BB">
              <w:rPr>
                <w:lang w:val="fr-CH"/>
              </w:rPr>
              <w:t>Simplicité de la mise en œuvre et temps nécessaire</w:t>
            </w:r>
          </w:p>
          <w:p w14:paraId="06573AAF" w14:textId="256C4217" w:rsidR="00F748F7" w:rsidRPr="009E06BB" w:rsidRDefault="00F748F7" w:rsidP="007412C7">
            <w:pPr>
              <w:pStyle w:val="Aufzhlung"/>
              <w:rPr>
                <w:lang w:val="fr-CH"/>
              </w:rPr>
            </w:pPr>
            <w:r w:rsidRPr="009E06BB">
              <w:rPr>
                <w:lang w:val="fr-CH"/>
              </w:rPr>
              <w:t>Place nécessaire à l’infrastructure</w:t>
            </w:r>
          </w:p>
          <w:p w14:paraId="3A8658E2" w14:textId="77777777" w:rsidR="005132B9" w:rsidRPr="009E06BB" w:rsidRDefault="005132B9" w:rsidP="005132B9">
            <w:pPr>
              <w:pStyle w:val="Aufzhlung"/>
              <w:numPr>
                <w:ilvl w:val="0"/>
                <w:numId w:val="0"/>
              </w:numPr>
              <w:rPr>
                <w:lang w:val="fr-CH"/>
              </w:rPr>
            </w:pPr>
          </w:p>
          <w:p w14:paraId="4F0C9E7B" w14:textId="77777777" w:rsidR="005132B9" w:rsidRPr="009E06BB" w:rsidRDefault="005132B9" w:rsidP="005132B9">
            <w:pPr>
              <w:rPr>
                <w:b/>
                <w:bCs/>
                <w:iCs/>
                <w:u w:val="single"/>
                <w:lang w:val="fr-CH"/>
              </w:rPr>
            </w:pPr>
            <w:r w:rsidRPr="009E06BB">
              <w:rPr>
                <w:b/>
                <w:u w:val="single"/>
                <w:lang w:val="fr-CH"/>
              </w:rPr>
              <w:t>Échelle d’évaluation</w:t>
            </w:r>
          </w:p>
          <w:p w14:paraId="238F1B64" w14:textId="4A3C4EB4" w:rsidR="00C14452" w:rsidRPr="009E06BB" w:rsidRDefault="00C14452" w:rsidP="00C14452">
            <w:pPr>
              <w:keepNext/>
              <w:pageBreakBefore/>
              <w:tabs>
                <w:tab w:val="left" w:pos="624"/>
              </w:tabs>
              <w:spacing w:line="259" w:lineRule="auto"/>
              <w:ind w:left="624" w:hanging="624"/>
              <w:rPr>
                <w:rFonts w:cs="Arial"/>
                <w:bCs/>
                <w:iCs/>
                <w:szCs w:val="20"/>
                <w:lang w:val="fr-CH"/>
              </w:rPr>
            </w:pPr>
            <w:r w:rsidRPr="009E06BB">
              <w:rPr>
                <w:rFonts w:cs="Arial"/>
                <w:lang w:val="fr-CH"/>
              </w:rPr>
              <w:lastRenderedPageBreak/>
              <w:t>3,0 =</w:t>
            </w:r>
            <w:r w:rsidRPr="009E06BB">
              <w:rPr>
                <w:rFonts w:cs="Arial"/>
                <w:lang w:val="fr-CH"/>
              </w:rPr>
              <w:tab/>
              <w:t>pleinement conforme aux exigences et attentes des CFF</w:t>
            </w:r>
          </w:p>
          <w:p w14:paraId="441A8CE4" w14:textId="06A42244" w:rsidR="00C14452" w:rsidRPr="009E06BB" w:rsidRDefault="00C14452" w:rsidP="00C14452">
            <w:pPr>
              <w:keepNext/>
              <w:pageBreakBefore/>
              <w:tabs>
                <w:tab w:val="left" w:pos="624"/>
              </w:tabs>
              <w:spacing w:line="259" w:lineRule="auto"/>
              <w:ind w:left="624" w:hanging="624"/>
              <w:rPr>
                <w:rFonts w:cs="Arial"/>
                <w:bCs/>
                <w:iCs/>
                <w:szCs w:val="20"/>
                <w:lang w:val="fr-CH"/>
              </w:rPr>
            </w:pPr>
            <w:r w:rsidRPr="009E06BB">
              <w:rPr>
                <w:rFonts w:cs="Arial"/>
                <w:lang w:val="fr-CH"/>
              </w:rPr>
              <w:t>2,0 =</w:t>
            </w:r>
            <w:r w:rsidRPr="009E06BB">
              <w:rPr>
                <w:rFonts w:cs="Arial"/>
                <w:lang w:val="fr-CH"/>
              </w:rPr>
              <w:tab/>
              <w:t>conforme aux exigences et attentes des CFF avec des restrictions mineures</w:t>
            </w:r>
          </w:p>
          <w:p w14:paraId="499BDE32" w14:textId="61C33A22" w:rsidR="00C14452" w:rsidRPr="009E06BB" w:rsidRDefault="00C14452" w:rsidP="00C14452">
            <w:pPr>
              <w:keepNext/>
              <w:pageBreakBefore/>
              <w:tabs>
                <w:tab w:val="left" w:pos="624"/>
              </w:tabs>
              <w:spacing w:line="259" w:lineRule="auto"/>
              <w:ind w:left="624" w:hanging="624"/>
              <w:rPr>
                <w:rFonts w:cs="Arial"/>
                <w:bCs/>
                <w:iCs/>
                <w:szCs w:val="20"/>
                <w:lang w:val="fr-CH"/>
              </w:rPr>
            </w:pPr>
            <w:r w:rsidRPr="009E06BB">
              <w:rPr>
                <w:rFonts w:cs="Arial"/>
                <w:lang w:val="fr-CH"/>
              </w:rPr>
              <w:t>1,0 =</w:t>
            </w:r>
            <w:r w:rsidRPr="009E06BB">
              <w:rPr>
                <w:rFonts w:cs="Arial"/>
                <w:lang w:val="fr-CH"/>
              </w:rPr>
              <w:tab/>
              <w:t>conforme aux exigences et attentes des CFF avec des restrictions importantes</w:t>
            </w:r>
          </w:p>
          <w:p w14:paraId="7BA7F60F" w14:textId="199A035E" w:rsidR="00C14452" w:rsidRPr="009E06BB" w:rsidRDefault="00C14452" w:rsidP="00C14452">
            <w:pPr>
              <w:widowControl w:val="0"/>
              <w:tabs>
                <w:tab w:val="left" w:pos="624"/>
              </w:tabs>
              <w:spacing w:line="259" w:lineRule="auto"/>
              <w:ind w:left="624" w:hanging="624"/>
              <w:rPr>
                <w:rFonts w:cs="Arial"/>
                <w:bCs/>
                <w:iCs/>
                <w:szCs w:val="20"/>
                <w:lang w:val="fr-CH"/>
              </w:rPr>
            </w:pPr>
            <w:r w:rsidRPr="009E06BB">
              <w:rPr>
                <w:rFonts w:cs="Arial"/>
                <w:lang w:val="fr-CH"/>
              </w:rPr>
              <w:t>0,0 =</w:t>
            </w:r>
            <w:r w:rsidRPr="009E06BB">
              <w:rPr>
                <w:rFonts w:cs="Arial"/>
                <w:lang w:val="fr-CH"/>
              </w:rPr>
              <w:tab/>
              <w:t>guère conforme, ou seulement de façon marginale, à la prestation à fournir</w:t>
            </w:r>
          </w:p>
          <w:p w14:paraId="3228C05B" w14:textId="3A9CD3BA" w:rsidR="005132B9" w:rsidRPr="009E06BB" w:rsidRDefault="00C14452" w:rsidP="00C14452">
            <w:pPr>
              <w:keepNext/>
              <w:spacing w:line="259" w:lineRule="auto"/>
              <w:rPr>
                <w:rFonts w:cs="Arial"/>
                <w:bCs/>
                <w:iCs/>
                <w:szCs w:val="20"/>
                <w:lang w:val="fr-CH"/>
              </w:rPr>
            </w:pPr>
            <w:r w:rsidRPr="009E06BB">
              <w:rPr>
                <w:rFonts w:cs="Arial"/>
                <w:lang w:val="fr-CH"/>
              </w:rPr>
              <w:t>Il est possible d’attribuer des notes arrondies ou décimales (p. ex. 2,75).</w:t>
            </w:r>
          </w:p>
          <w:p w14:paraId="4DCA93A5" w14:textId="334D60C6" w:rsidR="005132B9" w:rsidRPr="009E06BB" w:rsidRDefault="005132B9" w:rsidP="005132B9">
            <w:pPr>
              <w:pStyle w:val="Aufzhlung"/>
              <w:numPr>
                <w:ilvl w:val="0"/>
                <w:numId w:val="0"/>
              </w:numPr>
              <w:rPr>
                <w:lang w:val="fr-CH"/>
              </w:rPr>
            </w:pPr>
          </w:p>
        </w:tc>
        <w:tc>
          <w:tcPr>
            <w:tcW w:w="4819" w:type="dxa"/>
            <w:shd w:val="clear" w:color="auto" w:fill="FFF6C1"/>
          </w:tcPr>
          <w:p w14:paraId="170F1F3C" w14:textId="77777777" w:rsidR="00160F20" w:rsidRPr="009E06BB" w:rsidRDefault="00160F20" w:rsidP="00160F20">
            <w:pPr>
              <w:spacing w:line="259" w:lineRule="auto"/>
              <w:rPr>
                <w:rFonts w:cs="Arial"/>
                <w:b/>
                <w:szCs w:val="20"/>
                <w:lang w:val="fr-CH"/>
              </w:rPr>
            </w:pPr>
            <w:r w:rsidRPr="009E06BB">
              <w:rPr>
                <w:rFonts w:cs="Arial"/>
                <w:b/>
                <w:lang w:val="fr-CH"/>
              </w:rPr>
              <w:lastRenderedPageBreak/>
              <w:t>Remise du document</w:t>
            </w:r>
          </w:p>
          <w:p w14:paraId="140EA46B" w14:textId="64E064BF" w:rsidR="00160F20" w:rsidRPr="009E06BB" w:rsidRDefault="00160F20" w:rsidP="00160F20">
            <w:pPr>
              <w:spacing w:line="259" w:lineRule="auto"/>
              <w:contextualSpacing/>
              <w:rPr>
                <w:rFonts w:cs="Arial"/>
                <w:lang w:val="fr-CH"/>
              </w:rPr>
            </w:pPr>
            <w:r w:rsidRPr="009E06BB">
              <w:rPr>
                <w:rFonts w:cs="Arial"/>
                <w:lang w:val="fr-CH"/>
              </w:rPr>
              <w:t xml:space="preserve">La </w:t>
            </w:r>
            <w:r w:rsidR="006B36A1">
              <w:rPr>
                <w:rFonts w:cs="Arial"/>
                <w:lang w:val="fr-CH"/>
              </w:rPr>
              <w:t>documentation requise selon l’annexe</w:t>
            </w:r>
            <w:r w:rsidR="00B23223">
              <w:rPr>
                <w:rFonts w:cs="Arial"/>
                <w:lang w:val="fr-CH"/>
              </w:rPr>
              <w:t xml:space="preserve"> des DO</w:t>
            </w:r>
            <w:r w:rsidR="006B36A1">
              <w:rPr>
                <w:rFonts w:cs="Arial"/>
                <w:lang w:val="fr-CH"/>
              </w:rPr>
              <w:t xml:space="preserve"> </w:t>
            </w:r>
            <w:r w:rsidR="00B23223">
              <w:rPr>
                <w:rFonts w:cs="Arial"/>
                <w:lang w:val="fr-CH"/>
              </w:rPr>
              <w:t>« </w:t>
            </w:r>
            <w:r w:rsidRPr="009E06BB">
              <w:rPr>
                <w:rFonts w:cs="Arial"/>
                <w:lang w:val="fr-CH"/>
              </w:rPr>
              <w:t>tâche Schaffhouse»</w:t>
            </w:r>
            <w:r w:rsidR="00452614">
              <w:rPr>
                <w:rFonts w:cs="Arial"/>
                <w:lang w:val="fr-CH"/>
              </w:rPr>
              <w:t>, chiffre 2</w:t>
            </w:r>
            <w:r w:rsidRPr="009E06BB">
              <w:rPr>
                <w:rFonts w:cs="Arial"/>
                <w:lang w:val="fr-CH"/>
              </w:rPr>
              <w:t xml:space="preserve"> doit être remise conformément au chapitre «Structure de l’offre» des DO.</w:t>
            </w:r>
          </w:p>
          <w:p w14:paraId="10C6585E" w14:textId="77777777" w:rsidR="00160F20" w:rsidRPr="009E06BB" w:rsidRDefault="00160F20" w:rsidP="00160F20">
            <w:pPr>
              <w:rPr>
                <w:lang w:val="fr-CH"/>
              </w:rPr>
            </w:pPr>
          </w:p>
          <w:p w14:paraId="2438CA2B" w14:textId="77777777" w:rsidR="00160F20" w:rsidRPr="009E06BB" w:rsidRDefault="00160F20" w:rsidP="00160F20">
            <w:pPr>
              <w:rPr>
                <w:lang w:val="fr-CH"/>
              </w:rPr>
            </w:pPr>
            <w:r w:rsidRPr="009E06BB">
              <w:rPr>
                <w:lang w:val="fr-CH"/>
              </w:rPr>
              <w:t>Remarques</w:t>
            </w:r>
          </w:p>
          <w:p w14:paraId="0D55BD58" w14:textId="49F41059" w:rsidR="002E4622" w:rsidRPr="009E06BB" w:rsidRDefault="00160F20" w:rsidP="007412C7">
            <w:pPr>
              <w:rPr>
                <w:u w:val="single"/>
                <w:lang w:val="fr-CH"/>
              </w:rPr>
            </w:pPr>
            <w:r w:rsidRPr="009E06BB">
              <w:rPr>
                <w:lang w:val="fr-CH"/>
              </w:rPr>
              <w:fldChar w:fldCharType="begin">
                <w:ffData>
                  <w:name w:val="Text6"/>
                  <w:enabled/>
                  <w:calcOnExit w:val="0"/>
                  <w:textInput/>
                </w:ffData>
              </w:fldChar>
            </w:r>
            <w:r w:rsidRPr="009E06BB">
              <w:rPr>
                <w:lang w:val="fr-CH"/>
              </w:rPr>
              <w:instrText xml:space="preserve"> FORMTEXT </w:instrText>
            </w:r>
            <w:r w:rsidRPr="009E06BB">
              <w:rPr>
                <w:lang w:val="fr-CH"/>
              </w:rPr>
            </w:r>
            <w:r w:rsidRPr="009E06BB">
              <w:rPr>
                <w:lang w:val="fr-CH"/>
              </w:rPr>
              <w:fldChar w:fldCharType="separate"/>
            </w:r>
            <w:r w:rsidR="0049691F">
              <w:rPr>
                <w:noProof/>
                <w:lang w:val="fr-CH"/>
              </w:rPr>
              <w:t> </w:t>
            </w:r>
            <w:r w:rsidR="0049691F">
              <w:rPr>
                <w:noProof/>
                <w:lang w:val="fr-CH"/>
              </w:rPr>
              <w:t> </w:t>
            </w:r>
            <w:r w:rsidR="0049691F">
              <w:rPr>
                <w:noProof/>
                <w:lang w:val="fr-CH"/>
              </w:rPr>
              <w:t> </w:t>
            </w:r>
            <w:r w:rsidR="0049691F">
              <w:rPr>
                <w:noProof/>
                <w:lang w:val="fr-CH"/>
              </w:rPr>
              <w:t> </w:t>
            </w:r>
            <w:r w:rsidR="0049691F">
              <w:rPr>
                <w:noProof/>
                <w:lang w:val="fr-CH"/>
              </w:rPr>
              <w:t> </w:t>
            </w:r>
            <w:r w:rsidRPr="009E06BB">
              <w:rPr>
                <w:lang w:val="fr-CH"/>
              </w:rPr>
              <w:fldChar w:fldCharType="end"/>
            </w:r>
          </w:p>
        </w:tc>
      </w:tr>
      <w:tr w:rsidR="002E4622" w:rsidRPr="009E06BB" w14:paraId="0FDE8C37" w14:textId="77777777" w:rsidTr="005B58F2">
        <w:trPr>
          <w:trHeight w:val="641"/>
        </w:trPr>
        <w:tc>
          <w:tcPr>
            <w:tcW w:w="647" w:type="dxa"/>
            <w:tcBorders>
              <w:top w:val="single" w:sz="4" w:space="0" w:color="auto"/>
              <w:left w:val="single" w:sz="4" w:space="0" w:color="auto"/>
              <w:bottom w:val="single" w:sz="4" w:space="0" w:color="auto"/>
              <w:right w:val="single" w:sz="4" w:space="0" w:color="auto"/>
            </w:tcBorders>
            <w:shd w:val="clear" w:color="auto" w:fill="CDCDCD"/>
          </w:tcPr>
          <w:p w14:paraId="0DCA91E7" w14:textId="77777777" w:rsidR="002E4622" w:rsidRPr="009E06BB" w:rsidRDefault="002E4622" w:rsidP="003330A1">
            <w:pPr>
              <w:pageBreakBefore/>
              <w:rPr>
                <w:b/>
                <w:bCs/>
                <w:lang w:val="fr-CH"/>
              </w:rPr>
            </w:pPr>
            <w:r w:rsidRPr="009E06BB">
              <w:rPr>
                <w:b/>
                <w:lang w:val="fr-CH"/>
              </w:rPr>
              <w:t>2</w:t>
            </w:r>
          </w:p>
        </w:tc>
        <w:tc>
          <w:tcPr>
            <w:tcW w:w="14175" w:type="dxa"/>
            <w:gridSpan w:val="3"/>
            <w:tcBorders>
              <w:top w:val="single" w:sz="4" w:space="0" w:color="auto"/>
              <w:left w:val="single" w:sz="4" w:space="0" w:color="auto"/>
              <w:bottom w:val="single" w:sz="4" w:space="0" w:color="auto"/>
              <w:right w:val="single" w:sz="4" w:space="0" w:color="auto"/>
            </w:tcBorders>
            <w:shd w:val="clear" w:color="auto" w:fill="CDCDCD"/>
          </w:tcPr>
          <w:p w14:paraId="2F4BF40E" w14:textId="30A718EF" w:rsidR="002E4622" w:rsidRPr="009E06BB" w:rsidRDefault="002E4622" w:rsidP="003330A1">
            <w:pPr>
              <w:pageBreakBefore/>
              <w:rPr>
                <w:b/>
                <w:bCs/>
                <w:lang w:val="fr-CH"/>
              </w:rPr>
            </w:pPr>
            <w:r w:rsidRPr="009E06BB">
              <w:rPr>
                <w:b/>
                <w:lang w:val="fr-CH"/>
              </w:rPr>
              <w:t>Contrat</w:t>
            </w:r>
            <w:r w:rsidRPr="009E06BB">
              <w:rPr>
                <w:b/>
                <w:lang w:val="fr-CH"/>
              </w:rPr>
              <w:br/>
              <w:t xml:space="preserve">Pond. 1: </w:t>
            </w:r>
            <w:r w:rsidRPr="009E06BB">
              <w:rPr>
                <w:lang w:val="fr-CH"/>
              </w:rPr>
              <w:t>5</w:t>
            </w:r>
            <w:r w:rsidRPr="009E06BB">
              <w:rPr>
                <w:b/>
                <w:lang w:val="fr-CH"/>
              </w:rPr>
              <w:t>%</w:t>
            </w:r>
          </w:p>
        </w:tc>
      </w:tr>
      <w:tr w:rsidR="002E4622" w:rsidRPr="009E06BB" w14:paraId="4D3044C7" w14:textId="77777777" w:rsidTr="005B58F2">
        <w:trPr>
          <w:trHeight w:val="476"/>
          <w:tblHeader/>
        </w:trPr>
        <w:tc>
          <w:tcPr>
            <w:tcW w:w="647" w:type="dxa"/>
          </w:tcPr>
          <w:p w14:paraId="4383DF97" w14:textId="77777777" w:rsidR="002E4622" w:rsidRPr="009E06BB" w:rsidRDefault="002E4622" w:rsidP="007412C7">
            <w:pPr>
              <w:rPr>
                <w:b/>
                <w:bCs/>
                <w:lang w:val="fr-CH"/>
              </w:rPr>
            </w:pPr>
            <w:r w:rsidRPr="009E06BB">
              <w:rPr>
                <w:b/>
                <w:lang w:val="fr-CH"/>
              </w:rPr>
              <w:t>2.1</w:t>
            </w:r>
          </w:p>
        </w:tc>
        <w:tc>
          <w:tcPr>
            <w:tcW w:w="3260" w:type="dxa"/>
            <w:shd w:val="clear" w:color="auto" w:fill="auto"/>
          </w:tcPr>
          <w:p w14:paraId="3525893C" w14:textId="77777777" w:rsidR="002E4622" w:rsidRPr="009E06BB" w:rsidRDefault="002E4622" w:rsidP="007412C7">
            <w:pPr>
              <w:rPr>
                <w:b/>
                <w:lang w:val="fr-CH"/>
              </w:rPr>
            </w:pPr>
            <w:r w:rsidRPr="009E06BB">
              <w:rPr>
                <w:b/>
                <w:lang w:val="fr-CH"/>
              </w:rPr>
              <w:t>Évaluation du contrat</w:t>
            </w:r>
          </w:p>
          <w:p w14:paraId="7C0E936B" w14:textId="77777777" w:rsidR="002E4622" w:rsidRPr="009E06BB" w:rsidRDefault="002E4622" w:rsidP="007412C7">
            <w:pPr>
              <w:rPr>
                <w:lang w:val="fr-CH"/>
              </w:rPr>
            </w:pPr>
          </w:p>
          <w:p w14:paraId="563A5ACB" w14:textId="15745122" w:rsidR="002E4622" w:rsidRPr="009E06BB" w:rsidRDefault="002E4622" w:rsidP="007412C7">
            <w:pPr>
              <w:rPr>
                <w:bCs/>
                <w:lang w:val="fr-CH"/>
              </w:rPr>
            </w:pPr>
            <w:r w:rsidRPr="009E06BB">
              <w:rPr>
                <w:lang w:val="fr-CH"/>
              </w:rPr>
              <w:t>Pond. 2: 5%</w:t>
            </w:r>
          </w:p>
          <w:p w14:paraId="17B9FF61" w14:textId="77777777" w:rsidR="002E4622" w:rsidRPr="009E06BB" w:rsidRDefault="002E4622" w:rsidP="007412C7">
            <w:pPr>
              <w:rPr>
                <w:bCs/>
                <w:lang w:val="fr-CH"/>
              </w:rPr>
            </w:pPr>
          </w:p>
        </w:tc>
        <w:tc>
          <w:tcPr>
            <w:tcW w:w="6096" w:type="dxa"/>
            <w:shd w:val="clear" w:color="auto" w:fill="auto"/>
          </w:tcPr>
          <w:p w14:paraId="5586F9B7" w14:textId="77777777" w:rsidR="002E4622" w:rsidRPr="009E06BB" w:rsidRDefault="002E4622" w:rsidP="007412C7">
            <w:pPr>
              <w:rPr>
                <w:bCs/>
                <w:lang w:val="fr-CH"/>
              </w:rPr>
            </w:pPr>
            <w:r w:rsidRPr="009E06BB">
              <w:rPr>
                <w:lang w:val="fr-CH"/>
              </w:rPr>
              <w:t xml:space="preserve">Les modifications apportées au projet de contrat à la demande du soumissionnaire constituent le cadre de l’évaluation. Les propositions de modifications doivent être consignées dans le formulaire DO, annexe </w:t>
            </w:r>
            <w:r w:rsidRPr="009E06BB">
              <w:rPr>
                <w:i/>
                <w:lang w:val="fr-CH"/>
              </w:rPr>
              <w:t>«Modifications du contrat»</w:t>
            </w:r>
            <w:r w:rsidRPr="009E06BB">
              <w:rPr>
                <w:lang w:val="fr-CH"/>
              </w:rPr>
              <w:t>.</w:t>
            </w:r>
          </w:p>
          <w:p w14:paraId="3626B447" w14:textId="77777777" w:rsidR="002E4622" w:rsidRPr="009E06BB" w:rsidRDefault="002E4622" w:rsidP="007412C7">
            <w:pPr>
              <w:rPr>
                <w:bCs/>
                <w:lang w:val="fr-CH"/>
              </w:rPr>
            </w:pPr>
            <w:r w:rsidRPr="009E06BB">
              <w:rPr>
                <w:lang w:val="fr-CH"/>
              </w:rPr>
              <w:t>Y seront également indiqués les sites ainsi que les éventuels entreprises et sous-traitants associés. Le formulaire doit être remis dûment signé, même si aucune modification du contrat n’est souhaitée.</w:t>
            </w:r>
          </w:p>
          <w:p w14:paraId="05DED69F" w14:textId="77777777" w:rsidR="002E4622" w:rsidRPr="009E06BB" w:rsidRDefault="002E4622" w:rsidP="007412C7">
            <w:pPr>
              <w:rPr>
                <w:lang w:val="fr-CH"/>
              </w:rPr>
            </w:pPr>
          </w:p>
          <w:p w14:paraId="50DC4889" w14:textId="77777777" w:rsidR="002E4622" w:rsidRPr="009E06BB" w:rsidRDefault="002E4622" w:rsidP="007412C7">
            <w:pPr>
              <w:rPr>
                <w:u w:val="single"/>
                <w:lang w:val="fr-CH"/>
              </w:rPr>
            </w:pPr>
            <w:r w:rsidRPr="009E06BB">
              <w:rPr>
                <w:u w:val="single"/>
                <w:lang w:val="fr-CH"/>
              </w:rPr>
              <w:t>Principaux points d’observation</w:t>
            </w:r>
          </w:p>
          <w:p w14:paraId="2DD78125" w14:textId="77777777" w:rsidR="002E4622" w:rsidRPr="009E06BB" w:rsidRDefault="002E4622" w:rsidP="007412C7">
            <w:pPr>
              <w:pStyle w:val="Aufzhlung"/>
              <w:rPr>
                <w:lang w:val="fr-CH"/>
              </w:rPr>
            </w:pPr>
            <w:r w:rsidRPr="009E06BB">
              <w:rPr>
                <w:lang w:val="fr-CH"/>
              </w:rPr>
              <w:t>Obligations du soumissionnaire</w:t>
            </w:r>
          </w:p>
          <w:p w14:paraId="3F8225F5" w14:textId="77777777" w:rsidR="002E4622" w:rsidRPr="009E06BB" w:rsidRDefault="002E4622" w:rsidP="007412C7">
            <w:pPr>
              <w:pStyle w:val="Aufzhlung"/>
              <w:rPr>
                <w:lang w:val="fr-CH"/>
              </w:rPr>
            </w:pPr>
            <w:r w:rsidRPr="009E06BB">
              <w:rPr>
                <w:lang w:val="fr-CH"/>
              </w:rPr>
              <w:t>Conditions contractuelles commerciales</w:t>
            </w:r>
          </w:p>
          <w:p w14:paraId="7EF706B6" w14:textId="77777777" w:rsidR="002E4622" w:rsidRPr="009E06BB" w:rsidRDefault="002E4622" w:rsidP="007412C7">
            <w:pPr>
              <w:pStyle w:val="Aufzhlung"/>
              <w:rPr>
                <w:lang w:val="fr-CH"/>
              </w:rPr>
            </w:pPr>
            <w:r w:rsidRPr="009E06BB">
              <w:rPr>
                <w:lang w:val="fr-CH"/>
              </w:rPr>
              <w:t>Règles du droit de propriété intellectuelle</w:t>
            </w:r>
          </w:p>
          <w:p w14:paraId="65C964BC" w14:textId="77777777" w:rsidR="002E4622" w:rsidRPr="009E06BB" w:rsidRDefault="002E4622" w:rsidP="007412C7">
            <w:pPr>
              <w:pStyle w:val="Aufzhlung"/>
              <w:rPr>
                <w:lang w:val="fr-CH"/>
              </w:rPr>
            </w:pPr>
            <w:r w:rsidRPr="009E06BB">
              <w:rPr>
                <w:lang w:val="fr-CH"/>
              </w:rPr>
              <w:t>Attestation, garantie</w:t>
            </w:r>
          </w:p>
          <w:p w14:paraId="7A2A5A6F" w14:textId="77777777" w:rsidR="002E4622" w:rsidRPr="009E06BB" w:rsidRDefault="002E4622" w:rsidP="007412C7">
            <w:pPr>
              <w:pStyle w:val="Aufzhlung"/>
              <w:rPr>
                <w:lang w:val="fr-CH"/>
              </w:rPr>
            </w:pPr>
            <w:r w:rsidRPr="009E06BB">
              <w:rPr>
                <w:lang w:val="fr-CH"/>
              </w:rPr>
              <w:t>Responsabilité</w:t>
            </w:r>
          </w:p>
          <w:p w14:paraId="45DC41DF" w14:textId="77777777" w:rsidR="002E4622" w:rsidRPr="009E06BB" w:rsidRDefault="002E4622" w:rsidP="007412C7">
            <w:pPr>
              <w:pStyle w:val="Aufzhlung"/>
              <w:rPr>
                <w:lang w:val="fr-CH"/>
              </w:rPr>
            </w:pPr>
            <w:r w:rsidRPr="009E06BB">
              <w:rPr>
                <w:lang w:val="fr-CH"/>
              </w:rPr>
              <w:lastRenderedPageBreak/>
              <w:t>Garantie de dédommagement</w:t>
            </w:r>
          </w:p>
          <w:p w14:paraId="2DD7D111" w14:textId="77777777" w:rsidR="002E4622" w:rsidRPr="009E06BB" w:rsidRDefault="002E4622" w:rsidP="007412C7">
            <w:pPr>
              <w:pStyle w:val="Aufzhlung"/>
              <w:rPr>
                <w:lang w:val="fr-CH"/>
              </w:rPr>
            </w:pPr>
            <w:r w:rsidRPr="009E06BB">
              <w:rPr>
                <w:lang w:val="fr-CH"/>
              </w:rPr>
              <w:t>Cessation du contrat</w:t>
            </w:r>
          </w:p>
          <w:p w14:paraId="4B7C56D6" w14:textId="77777777" w:rsidR="002E4622" w:rsidRDefault="002E4622" w:rsidP="007412C7">
            <w:pPr>
              <w:pStyle w:val="Aufzhlung"/>
              <w:rPr>
                <w:lang w:val="fr-CH"/>
              </w:rPr>
            </w:pPr>
            <w:r w:rsidRPr="009E06BB">
              <w:rPr>
                <w:lang w:val="fr-CH"/>
              </w:rPr>
              <w:t>Autres conditions contractuelles</w:t>
            </w:r>
          </w:p>
          <w:p w14:paraId="047183DB" w14:textId="4A61D532" w:rsidR="003C2C92" w:rsidRPr="009E06BB" w:rsidRDefault="003C2C92" w:rsidP="007412C7">
            <w:pPr>
              <w:pStyle w:val="Aufzhlung"/>
              <w:rPr>
                <w:lang w:val="fr-CH"/>
              </w:rPr>
            </w:pPr>
            <w:r>
              <w:rPr>
                <w:lang w:val="fr-CH"/>
              </w:rPr>
              <w:t xml:space="preserve">Protection des données </w:t>
            </w:r>
            <w:r w:rsidR="00EE404D">
              <w:rPr>
                <w:lang w:val="fr-CH"/>
              </w:rPr>
              <w:t>et sécurité informatique</w:t>
            </w:r>
          </w:p>
          <w:p w14:paraId="7C1C2B87" w14:textId="77777777" w:rsidR="002E4622" w:rsidRPr="009E06BB" w:rsidRDefault="002E4622" w:rsidP="007412C7">
            <w:pPr>
              <w:rPr>
                <w:lang w:val="fr-CH"/>
              </w:rPr>
            </w:pPr>
          </w:p>
          <w:p w14:paraId="5FBEC770" w14:textId="77777777" w:rsidR="002E4622" w:rsidRPr="009E06BB" w:rsidRDefault="002E4622" w:rsidP="007412C7">
            <w:pPr>
              <w:rPr>
                <w:b/>
                <w:iCs/>
                <w:lang w:val="fr-CH"/>
              </w:rPr>
            </w:pPr>
            <w:r w:rsidRPr="009E06BB">
              <w:rPr>
                <w:b/>
                <w:lang w:val="fr-CH"/>
              </w:rPr>
              <w:t>Échelle d’évaluation</w:t>
            </w:r>
          </w:p>
          <w:p w14:paraId="34F5F505" w14:textId="77777777" w:rsidR="002E4622" w:rsidRPr="009E06BB" w:rsidRDefault="002E4622" w:rsidP="007412C7">
            <w:pPr>
              <w:ind w:left="659" w:hanging="659"/>
              <w:rPr>
                <w:bCs/>
                <w:iCs/>
                <w:lang w:val="fr-CH"/>
              </w:rPr>
            </w:pPr>
            <w:r w:rsidRPr="009E06BB">
              <w:rPr>
                <w:lang w:val="fr-CH"/>
              </w:rPr>
              <w:t>3,0 =</w:t>
            </w:r>
            <w:r w:rsidRPr="009E06BB">
              <w:rPr>
                <w:lang w:val="fr-CH"/>
              </w:rPr>
              <w:tab/>
              <w:t>tous les documents contractuels sont entièrement conformes aux besoins et exigences des CFF</w:t>
            </w:r>
          </w:p>
          <w:p w14:paraId="5AC598C8" w14:textId="77777777" w:rsidR="002E4622" w:rsidRPr="009E06BB" w:rsidRDefault="002E4622" w:rsidP="007412C7">
            <w:pPr>
              <w:ind w:left="659" w:hanging="659"/>
              <w:rPr>
                <w:bCs/>
                <w:iCs/>
                <w:lang w:val="fr-CH"/>
              </w:rPr>
            </w:pPr>
            <w:r w:rsidRPr="009E06BB">
              <w:rPr>
                <w:lang w:val="fr-CH"/>
              </w:rPr>
              <w:t>2,0 =</w:t>
            </w:r>
            <w:r w:rsidRPr="009E06BB">
              <w:rPr>
                <w:lang w:val="fr-CH"/>
              </w:rPr>
              <w:tab/>
              <w:t>tous les documents contractuels sont conformes aux besoins et exigences des CFF mais présentent des restrictions mineures</w:t>
            </w:r>
          </w:p>
          <w:p w14:paraId="698313EF" w14:textId="77777777" w:rsidR="002E4622" w:rsidRPr="009E06BB" w:rsidRDefault="002E4622" w:rsidP="007412C7">
            <w:pPr>
              <w:ind w:left="659" w:hanging="659"/>
              <w:rPr>
                <w:bCs/>
                <w:iCs/>
                <w:lang w:val="fr-CH"/>
              </w:rPr>
            </w:pPr>
            <w:r w:rsidRPr="009E06BB">
              <w:rPr>
                <w:lang w:val="fr-CH"/>
              </w:rPr>
              <w:t>1,0 =</w:t>
            </w:r>
            <w:r w:rsidRPr="009E06BB">
              <w:rPr>
                <w:lang w:val="fr-CH"/>
              </w:rPr>
              <w:tab/>
              <w:t>tous les documents contractuels sont conformes aux besoins et exigences des CFF mais présentent des restrictions importantes</w:t>
            </w:r>
          </w:p>
          <w:p w14:paraId="64A0AB83" w14:textId="77777777" w:rsidR="002E4622" w:rsidRPr="009E06BB" w:rsidRDefault="002E4622" w:rsidP="007412C7">
            <w:pPr>
              <w:ind w:left="659" w:hanging="659"/>
              <w:rPr>
                <w:bCs/>
                <w:iCs/>
                <w:lang w:val="fr-CH"/>
              </w:rPr>
            </w:pPr>
            <w:r w:rsidRPr="009E06BB">
              <w:rPr>
                <w:lang w:val="fr-CH"/>
              </w:rPr>
              <w:t>0,0 =</w:t>
            </w:r>
            <w:r w:rsidRPr="009E06BB">
              <w:rPr>
                <w:lang w:val="fr-CH"/>
              </w:rPr>
              <w:tab/>
              <w:t>réserves substantielles avec une restriction importante de la situation juridique des CFF</w:t>
            </w:r>
          </w:p>
          <w:p w14:paraId="02E0ABD1" w14:textId="77777777" w:rsidR="002E4622" w:rsidRPr="009E06BB" w:rsidRDefault="002E4622" w:rsidP="0015728C">
            <w:pPr>
              <w:rPr>
                <w:lang w:val="fr-CH"/>
              </w:rPr>
            </w:pPr>
            <w:r w:rsidRPr="009E06BB">
              <w:rPr>
                <w:lang w:val="fr-CH"/>
              </w:rPr>
              <w:t>Il est possible d’attribuer des notes arrondies ou décimales (p. ex. 2,75).</w:t>
            </w:r>
          </w:p>
        </w:tc>
        <w:tc>
          <w:tcPr>
            <w:tcW w:w="4819" w:type="dxa"/>
            <w:shd w:val="clear" w:color="auto" w:fill="FFF6C1"/>
          </w:tcPr>
          <w:p w14:paraId="5D4A67A9" w14:textId="77777777" w:rsidR="00A12242" w:rsidRPr="009E06BB" w:rsidRDefault="00A12242" w:rsidP="00A12242">
            <w:pPr>
              <w:rPr>
                <w:b/>
                <w:lang w:val="fr-CH"/>
              </w:rPr>
            </w:pPr>
            <w:r w:rsidRPr="009E06BB">
              <w:rPr>
                <w:b/>
                <w:lang w:val="fr-CH"/>
              </w:rPr>
              <w:lastRenderedPageBreak/>
              <w:t>Remplissage du formulaire</w:t>
            </w:r>
            <w:r w:rsidRPr="009E06BB">
              <w:rPr>
                <w:b/>
                <w:lang w:val="fr-CH"/>
              </w:rPr>
              <w:br w:type="page"/>
            </w:r>
          </w:p>
          <w:p w14:paraId="3812F9E1" w14:textId="5DF66880" w:rsidR="002E4622" w:rsidRPr="009E06BB" w:rsidRDefault="002E4622" w:rsidP="007412C7">
            <w:pPr>
              <w:rPr>
                <w:lang w:val="fr-CH"/>
              </w:rPr>
            </w:pPr>
            <w:r w:rsidRPr="009E06BB">
              <w:rPr>
                <w:lang w:val="fr-CH"/>
              </w:rPr>
              <w:t>L’annexe «Modifications du contrat» doit être remise dûment complétée, conformément au chapitre «Structure de l’offre» des DO.</w:t>
            </w:r>
          </w:p>
          <w:p w14:paraId="4B08F5CA" w14:textId="77777777" w:rsidR="002E4622" w:rsidRPr="009E06BB" w:rsidRDefault="002E4622" w:rsidP="007412C7">
            <w:pPr>
              <w:rPr>
                <w:lang w:val="fr-CH"/>
              </w:rPr>
            </w:pPr>
          </w:p>
          <w:p w14:paraId="31CA13C9" w14:textId="77777777" w:rsidR="002E4622" w:rsidRPr="009E06BB" w:rsidRDefault="002E4622" w:rsidP="007412C7">
            <w:pPr>
              <w:rPr>
                <w:lang w:val="fr-CH"/>
              </w:rPr>
            </w:pPr>
            <w:r w:rsidRPr="009E06BB">
              <w:rPr>
                <w:lang w:val="fr-CH"/>
              </w:rPr>
              <w:t>Remarques</w:t>
            </w:r>
          </w:p>
          <w:p w14:paraId="3065D1D9" w14:textId="09A2AD14" w:rsidR="002E4622" w:rsidRPr="009E06BB" w:rsidRDefault="002E4622" w:rsidP="007412C7">
            <w:pPr>
              <w:rPr>
                <w:bCs/>
                <w:lang w:val="fr-CH"/>
              </w:rPr>
            </w:pPr>
            <w:r w:rsidRPr="009E06BB">
              <w:rPr>
                <w:lang w:val="fr-CH"/>
              </w:rPr>
              <w:fldChar w:fldCharType="begin">
                <w:ffData>
                  <w:name w:val="Text6"/>
                  <w:enabled/>
                  <w:calcOnExit w:val="0"/>
                  <w:textInput/>
                </w:ffData>
              </w:fldChar>
            </w:r>
            <w:r w:rsidRPr="009E06BB">
              <w:rPr>
                <w:lang w:val="fr-CH"/>
              </w:rPr>
              <w:instrText xml:space="preserve"> FORMTEXT </w:instrText>
            </w:r>
            <w:r w:rsidRPr="009E06BB">
              <w:rPr>
                <w:lang w:val="fr-CH"/>
              </w:rPr>
            </w:r>
            <w:r w:rsidRPr="009E06BB">
              <w:rPr>
                <w:lang w:val="fr-CH"/>
              </w:rPr>
              <w:fldChar w:fldCharType="separate"/>
            </w:r>
            <w:r w:rsidR="0049691F">
              <w:rPr>
                <w:noProof/>
                <w:lang w:val="fr-CH"/>
              </w:rPr>
              <w:t> </w:t>
            </w:r>
            <w:r w:rsidR="0049691F">
              <w:rPr>
                <w:noProof/>
                <w:lang w:val="fr-CH"/>
              </w:rPr>
              <w:t> </w:t>
            </w:r>
            <w:r w:rsidR="0049691F">
              <w:rPr>
                <w:noProof/>
                <w:lang w:val="fr-CH"/>
              </w:rPr>
              <w:t> </w:t>
            </w:r>
            <w:r w:rsidR="0049691F">
              <w:rPr>
                <w:noProof/>
                <w:lang w:val="fr-CH"/>
              </w:rPr>
              <w:t> </w:t>
            </w:r>
            <w:r w:rsidR="0049691F">
              <w:rPr>
                <w:noProof/>
                <w:lang w:val="fr-CH"/>
              </w:rPr>
              <w:t> </w:t>
            </w:r>
            <w:r w:rsidRPr="009E06BB">
              <w:rPr>
                <w:lang w:val="fr-CH"/>
              </w:rPr>
              <w:fldChar w:fldCharType="end"/>
            </w:r>
          </w:p>
        </w:tc>
      </w:tr>
      <w:tr w:rsidR="002E4622" w:rsidRPr="009E06BB" w14:paraId="457D6E3B" w14:textId="77777777" w:rsidTr="005B58F2">
        <w:trPr>
          <w:trHeight w:val="491"/>
          <w:tblHeader/>
        </w:trPr>
        <w:tc>
          <w:tcPr>
            <w:tcW w:w="647" w:type="dxa"/>
            <w:tcBorders>
              <w:top w:val="single" w:sz="4" w:space="0" w:color="auto"/>
              <w:left w:val="single" w:sz="4" w:space="0" w:color="auto"/>
              <w:bottom w:val="single" w:sz="4" w:space="0" w:color="auto"/>
              <w:right w:val="single" w:sz="4" w:space="0" w:color="auto"/>
            </w:tcBorders>
            <w:shd w:val="clear" w:color="auto" w:fill="CDCDCD"/>
          </w:tcPr>
          <w:p w14:paraId="01FC06C2" w14:textId="77777777" w:rsidR="002E4622" w:rsidRPr="009E06BB" w:rsidRDefault="002E4622" w:rsidP="003330A1">
            <w:pPr>
              <w:pageBreakBefore/>
              <w:rPr>
                <w:b/>
                <w:bCs/>
                <w:lang w:val="fr-CH"/>
              </w:rPr>
            </w:pPr>
            <w:r w:rsidRPr="009E06BB">
              <w:rPr>
                <w:b/>
                <w:lang w:val="fr-CH"/>
              </w:rPr>
              <w:lastRenderedPageBreak/>
              <w:t>3</w:t>
            </w:r>
          </w:p>
        </w:tc>
        <w:tc>
          <w:tcPr>
            <w:tcW w:w="14175" w:type="dxa"/>
            <w:gridSpan w:val="3"/>
            <w:tcBorders>
              <w:top w:val="single" w:sz="4" w:space="0" w:color="auto"/>
              <w:left w:val="single" w:sz="4" w:space="0" w:color="auto"/>
              <w:bottom w:val="single" w:sz="4" w:space="0" w:color="auto"/>
              <w:right w:val="single" w:sz="4" w:space="0" w:color="auto"/>
            </w:tcBorders>
            <w:shd w:val="clear" w:color="auto" w:fill="CDCDCD"/>
          </w:tcPr>
          <w:p w14:paraId="3C9BF11B" w14:textId="3A49865C" w:rsidR="002E4622" w:rsidRPr="009E06BB" w:rsidRDefault="002E4622" w:rsidP="003330A1">
            <w:pPr>
              <w:pageBreakBefore/>
              <w:rPr>
                <w:b/>
                <w:bCs/>
                <w:lang w:val="fr-CH"/>
              </w:rPr>
            </w:pPr>
            <w:r w:rsidRPr="009E06BB">
              <w:rPr>
                <w:b/>
                <w:lang w:val="fr-CH"/>
              </w:rPr>
              <w:t>Prix</w:t>
            </w:r>
            <w:r w:rsidRPr="009E06BB">
              <w:rPr>
                <w:b/>
                <w:lang w:val="fr-CH"/>
              </w:rPr>
              <w:br/>
              <w:t xml:space="preserve">Pond. 1: </w:t>
            </w:r>
            <w:r w:rsidRPr="009E06BB">
              <w:rPr>
                <w:lang w:val="fr-CH"/>
              </w:rPr>
              <w:t>35</w:t>
            </w:r>
            <w:r w:rsidRPr="009E06BB">
              <w:rPr>
                <w:b/>
                <w:lang w:val="fr-CH"/>
              </w:rPr>
              <w:t>%</w:t>
            </w:r>
          </w:p>
        </w:tc>
      </w:tr>
      <w:tr w:rsidR="002E4622" w:rsidRPr="009E06BB" w14:paraId="03A4A6D6" w14:textId="77777777" w:rsidTr="005B58F2">
        <w:trPr>
          <w:trHeight w:val="476"/>
          <w:tblHeader/>
        </w:trPr>
        <w:tc>
          <w:tcPr>
            <w:tcW w:w="647" w:type="dxa"/>
          </w:tcPr>
          <w:p w14:paraId="640A2FF5" w14:textId="77777777" w:rsidR="002E4622" w:rsidRPr="009E06BB" w:rsidRDefault="002E4622" w:rsidP="007412C7">
            <w:pPr>
              <w:rPr>
                <w:b/>
                <w:bCs/>
                <w:lang w:val="fr-CH"/>
              </w:rPr>
            </w:pPr>
            <w:r w:rsidRPr="009E06BB">
              <w:rPr>
                <w:b/>
                <w:lang w:val="fr-CH"/>
              </w:rPr>
              <w:t>3.1</w:t>
            </w:r>
          </w:p>
        </w:tc>
        <w:tc>
          <w:tcPr>
            <w:tcW w:w="3260" w:type="dxa"/>
            <w:shd w:val="clear" w:color="auto" w:fill="auto"/>
          </w:tcPr>
          <w:p w14:paraId="75DEA962" w14:textId="6AD6DF86" w:rsidR="002E4622" w:rsidRPr="009E06BB" w:rsidRDefault="001A11F3" w:rsidP="007412C7">
            <w:pPr>
              <w:rPr>
                <w:b/>
                <w:lang w:val="fr-CH"/>
              </w:rPr>
            </w:pPr>
            <w:r>
              <w:rPr>
                <w:b/>
                <w:lang w:val="fr-CH"/>
              </w:rPr>
              <w:t>Prix pour m</w:t>
            </w:r>
            <w:r w:rsidR="002E4622" w:rsidRPr="009E06BB">
              <w:rPr>
                <w:b/>
                <w:lang w:val="fr-CH"/>
              </w:rPr>
              <w:t>arché de base</w:t>
            </w:r>
          </w:p>
          <w:p w14:paraId="7A151D91" w14:textId="77777777" w:rsidR="002E4622" w:rsidRPr="009E06BB" w:rsidRDefault="002E4622" w:rsidP="007412C7">
            <w:pPr>
              <w:rPr>
                <w:bCs/>
                <w:lang w:val="fr-CH"/>
              </w:rPr>
            </w:pPr>
          </w:p>
          <w:p w14:paraId="171C4561" w14:textId="76C0118B" w:rsidR="002E4622" w:rsidRPr="009E06BB" w:rsidRDefault="002E4622" w:rsidP="007412C7">
            <w:pPr>
              <w:rPr>
                <w:bCs/>
                <w:lang w:val="fr-CH"/>
              </w:rPr>
            </w:pPr>
            <w:r w:rsidRPr="009E06BB">
              <w:rPr>
                <w:lang w:val="fr-CH"/>
              </w:rPr>
              <w:t>Pond. 2: 5%</w:t>
            </w:r>
          </w:p>
        </w:tc>
        <w:tc>
          <w:tcPr>
            <w:tcW w:w="6096" w:type="dxa"/>
            <w:shd w:val="clear" w:color="auto" w:fill="auto"/>
          </w:tcPr>
          <w:p w14:paraId="329E5DE6" w14:textId="45AB64A2" w:rsidR="002E4622" w:rsidRPr="009E06BB" w:rsidRDefault="002E4622" w:rsidP="007412C7">
            <w:pPr>
              <w:rPr>
                <w:bCs/>
                <w:lang w:val="fr-CH"/>
              </w:rPr>
            </w:pPr>
            <w:r w:rsidRPr="009E06BB">
              <w:rPr>
                <w:lang w:val="fr-CH"/>
              </w:rPr>
              <w:t>Le montant pertinent pour l’évaluation du marché de base correspond aux coûts du LP2.</w:t>
            </w:r>
          </w:p>
          <w:p w14:paraId="00851B39" w14:textId="50C41340" w:rsidR="002E4622" w:rsidRPr="009E06BB" w:rsidRDefault="002E4622" w:rsidP="007412C7">
            <w:pPr>
              <w:rPr>
                <w:bCs/>
                <w:lang w:val="fr-CH"/>
              </w:rPr>
            </w:pPr>
            <w:r w:rsidRPr="009E06BB">
              <w:rPr>
                <w:lang w:val="fr-CH"/>
              </w:rPr>
              <w:t>Listes de prix disponibles dûment complétées et report des coûts dans le présent document.</w:t>
            </w:r>
          </w:p>
          <w:p w14:paraId="775A9FF2" w14:textId="77777777" w:rsidR="002E4622" w:rsidRPr="009E06BB" w:rsidRDefault="002E4622" w:rsidP="007412C7">
            <w:pPr>
              <w:rPr>
                <w:lang w:val="fr-CH"/>
              </w:rPr>
            </w:pPr>
          </w:p>
          <w:p w14:paraId="6AB7011F" w14:textId="77777777" w:rsidR="002E4622" w:rsidRPr="009E06BB" w:rsidRDefault="002E4622" w:rsidP="007412C7">
            <w:pPr>
              <w:rPr>
                <w:b/>
                <w:iCs/>
                <w:lang w:val="fr-CH"/>
              </w:rPr>
            </w:pPr>
            <w:r w:rsidRPr="009E06BB">
              <w:rPr>
                <w:b/>
                <w:lang w:val="fr-CH"/>
              </w:rPr>
              <w:t>Remarque pour l’évaluation</w:t>
            </w:r>
          </w:p>
          <w:p w14:paraId="09B2E5FF" w14:textId="77777777" w:rsidR="002E4622" w:rsidRPr="009E06BB" w:rsidRDefault="002E4622" w:rsidP="007412C7">
            <w:pPr>
              <w:pStyle w:val="Aufzhlung"/>
              <w:rPr>
                <w:lang w:val="fr-CH"/>
              </w:rPr>
            </w:pPr>
            <w:r w:rsidRPr="009E06BB">
              <w:rPr>
                <w:lang w:val="fr-CH"/>
              </w:rPr>
              <w:t xml:space="preserve">L’offre la plus avantageuse se voit attribuer le nombre maximal de points </w:t>
            </w:r>
          </w:p>
          <w:p w14:paraId="2F2E120C" w14:textId="4913DE65" w:rsidR="002E4622" w:rsidRPr="009E06BB" w:rsidRDefault="002E4622" w:rsidP="007412C7">
            <w:pPr>
              <w:pStyle w:val="Aufzhlung"/>
              <w:rPr>
                <w:lang w:val="fr-CH"/>
              </w:rPr>
            </w:pPr>
            <w:r w:rsidRPr="009E06BB">
              <w:rPr>
                <w:lang w:val="fr-CH"/>
              </w:rPr>
              <w:t>Les offres qui dépassent de 100% ou plus l’offre la plus avantageuse obtiennent 0 point</w:t>
            </w:r>
          </w:p>
          <w:p w14:paraId="157728DC" w14:textId="77777777" w:rsidR="002E4622" w:rsidRPr="009E06BB" w:rsidRDefault="002E4622" w:rsidP="007412C7">
            <w:pPr>
              <w:pStyle w:val="Aufzhlung"/>
              <w:rPr>
                <w:lang w:val="fr-CH"/>
              </w:rPr>
            </w:pPr>
            <w:r w:rsidRPr="009E06BB">
              <w:rPr>
                <w:lang w:val="fr-CH"/>
              </w:rPr>
              <w:t>Les prix intermédiaires obtiennent un nombre de points calculé de façon linéaire</w:t>
            </w:r>
          </w:p>
        </w:tc>
        <w:tc>
          <w:tcPr>
            <w:tcW w:w="4819" w:type="dxa"/>
            <w:shd w:val="clear" w:color="auto" w:fill="FFF6C1"/>
          </w:tcPr>
          <w:p w14:paraId="176732E0" w14:textId="77777777" w:rsidR="002E4622" w:rsidRPr="009E06BB" w:rsidRDefault="002E4622" w:rsidP="007412C7">
            <w:pPr>
              <w:rPr>
                <w:b/>
                <w:lang w:val="fr-CH"/>
              </w:rPr>
            </w:pPr>
            <w:r w:rsidRPr="009E06BB">
              <w:rPr>
                <w:b/>
                <w:lang w:val="fr-CH"/>
              </w:rPr>
              <w:t>Remplissage du formulaire</w:t>
            </w:r>
            <w:r w:rsidRPr="009E06BB">
              <w:rPr>
                <w:b/>
                <w:lang w:val="fr-CH"/>
              </w:rPr>
              <w:br w:type="page"/>
            </w:r>
          </w:p>
          <w:p w14:paraId="6D1782A1" w14:textId="68B00F41" w:rsidR="002E4622" w:rsidRPr="009E06BB" w:rsidRDefault="002E4622" w:rsidP="007412C7">
            <w:pPr>
              <w:rPr>
                <w:bCs/>
                <w:lang w:val="fr-CH"/>
              </w:rPr>
            </w:pPr>
            <w:r w:rsidRPr="009E06BB">
              <w:rPr>
                <w:lang w:val="fr-CH"/>
              </w:rPr>
              <w:t xml:space="preserve">L’annexe </w:t>
            </w:r>
            <w:r w:rsidRPr="009E06BB">
              <w:rPr>
                <w:i/>
                <w:lang w:val="fr-CH"/>
              </w:rPr>
              <w:t>«CAd Prix»</w:t>
            </w:r>
            <w:r w:rsidRPr="009E06BB">
              <w:rPr>
                <w:lang w:val="fr-CH"/>
              </w:rPr>
              <w:t xml:space="preserve"> doit être remise dûment complétée, conformément au chapitre «Structure de l’offre» des DO.</w:t>
            </w:r>
          </w:p>
          <w:p w14:paraId="39FB50BA" w14:textId="77777777" w:rsidR="002E4622" w:rsidRPr="009E06BB" w:rsidRDefault="002E4622" w:rsidP="007412C7">
            <w:pPr>
              <w:rPr>
                <w:bCs/>
                <w:lang w:val="fr-CH"/>
              </w:rPr>
            </w:pPr>
          </w:p>
          <w:p w14:paraId="42A32B21" w14:textId="77777777" w:rsidR="002E4622" w:rsidRPr="009E06BB" w:rsidRDefault="002E4622" w:rsidP="007412C7">
            <w:pPr>
              <w:rPr>
                <w:lang w:val="fr-CH"/>
              </w:rPr>
            </w:pPr>
          </w:p>
          <w:p w14:paraId="08BA7206" w14:textId="77777777" w:rsidR="002E4622" w:rsidRPr="009E06BB" w:rsidRDefault="002E4622" w:rsidP="007412C7">
            <w:pPr>
              <w:rPr>
                <w:lang w:val="fr-CH"/>
              </w:rPr>
            </w:pPr>
            <w:r w:rsidRPr="009E06BB">
              <w:rPr>
                <w:lang w:val="fr-CH"/>
              </w:rPr>
              <w:t>Remarques</w:t>
            </w:r>
          </w:p>
          <w:p w14:paraId="73B50C45" w14:textId="0328D946" w:rsidR="002E4622" w:rsidRPr="009E06BB" w:rsidRDefault="002E4622" w:rsidP="007412C7">
            <w:pPr>
              <w:rPr>
                <w:bCs/>
                <w:lang w:val="fr-CH"/>
              </w:rPr>
            </w:pPr>
            <w:r w:rsidRPr="009E06BB">
              <w:rPr>
                <w:lang w:val="fr-CH"/>
              </w:rPr>
              <w:fldChar w:fldCharType="begin">
                <w:ffData>
                  <w:name w:val="Text6"/>
                  <w:enabled/>
                  <w:calcOnExit w:val="0"/>
                  <w:textInput/>
                </w:ffData>
              </w:fldChar>
            </w:r>
            <w:r w:rsidRPr="009E06BB">
              <w:rPr>
                <w:lang w:val="fr-CH"/>
              </w:rPr>
              <w:instrText xml:space="preserve"> FORMTEXT </w:instrText>
            </w:r>
            <w:r w:rsidRPr="009E06BB">
              <w:rPr>
                <w:lang w:val="fr-CH"/>
              </w:rPr>
            </w:r>
            <w:r w:rsidRPr="009E06BB">
              <w:rPr>
                <w:lang w:val="fr-CH"/>
              </w:rPr>
              <w:fldChar w:fldCharType="separate"/>
            </w:r>
            <w:r w:rsidR="0049691F">
              <w:rPr>
                <w:noProof/>
                <w:lang w:val="fr-CH"/>
              </w:rPr>
              <w:t> </w:t>
            </w:r>
            <w:r w:rsidR="0049691F">
              <w:rPr>
                <w:noProof/>
                <w:lang w:val="fr-CH"/>
              </w:rPr>
              <w:t> </w:t>
            </w:r>
            <w:r w:rsidR="0049691F">
              <w:rPr>
                <w:noProof/>
                <w:lang w:val="fr-CH"/>
              </w:rPr>
              <w:t> </w:t>
            </w:r>
            <w:r w:rsidR="0049691F">
              <w:rPr>
                <w:noProof/>
                <w:lang w:val="fr-CH"/>
              </w:rPr>
              <w:t> </w:t>
            </w:r>
            <w:r w:rsidR="0049691F">
              <w:rPr>
                <w:noProof/>
                <w:lang w:val="fr-CH"/>
              </w:rPr>
              <w:t> </w:t>
            </w:r>
            <w:r w:rsidRPr="009E06BB">
              <w:rPr>
                <w:lang w:val="fr-CH"/>
              </w:rPr>
              <w:fldChar w:fldCharType="end"/>
            </w:r>
          </w:p>
        </w:tc>
      </w:tr>
      <w:tr w:rsidR="00833582" w:rsidRPr="009E06BB" w14:paraId="056116C7" w14:textId="77777777" w:rsidTr="005B58F2">
        <w:trPr>
          <w:trHeight w:val="476"/>
          <w:tblHeader/>
        </w:trPr>
        <w:tc>
          <w:tcPr>
            <w:tcW w:w="647" w:type="dxa"/>
          </w:tcPr>
          <w:p w14:paraId="0BE712EE" w14:textId="30CAA1CE" w:rsidR="00833582" w:rsidRPr="009E06BB" w:rsidRDefault="00833582" w:rsidP="00833582">
            <w:pPr>
              <w:rPr>
                <w:b/>
                <w:bCs/>
                <w:lang w:val="fr-CH"/>
              </w:rPr>
            </w:pPr>
            <w:r w:rsidRPr="009E06BB">
              <w:rPr>
                <w:b/>
                <w:lang w:val="fr-CH"/>
              </w:rPr>
              <w:t>3.2</w:t>
            </w:r>
          </w:p>
        </w:tc>
        <w:tc>
          <w:tcPr>
            <w:tcW w:w="3260" w:type="dxa"/>
            <w:shd w:val="clear" w:color="auto" w:fill="auto"/>
          </w:tcPr>
          <w:p w14:paraId="68AE336D" w14:textId="10418785" w:rsidR="00833582" w:rsidRPr="009E06BB" w:rsidRDefault="00072817" w:rsidP="00833582">
            <w:pPr>
              <w:rPr>
                <w:b/>
                <w:lang w:val="fr-CH"/>
              </w:rPr>
            </w:pPr>
            <w:r w:rsidRPr="009E06BB">
              <w:rPr>
                <w:b/>
                <w:lang w:val="fr-CH"/>
              </w:rPr>
              <w:t xml:space="preserve">Prix </w:t>
            </w:r>
            <w:r w:rsidR="003C0367">
              <w:rPr>
                <w:b/>
                <w:lang w:val="fr-CH"/>
              </w:rPr>
              <w:t>pour</w:t>
            </w:r>
            <w:r w:rsidR="003C0367" w:rsidRPr="009E06BB">
              <w:rPr>
                <w:b/>
                <w:lang w:val="fr-CH"/>
              </w:rPr>
              <w:t xml:space="preserve"> </w:t>
            </w:r>
            <w:r w:rsidRPr="009E06BB">
              <w:rPr>
                <w:b/>
                <w:lang w:val="fr-CH"/>
              </w:rPr>
              <w:t>options</w:t>
            </w:r>
          </w:p>
          <w:p w14:paraId="7DF7C365" w14:textId="77777777" w:rsidR="00833582" w:rsidRPr="009E06BB" w:rsidRDefault="00833582" w:rsidP="00833582">
            <w:pPr>
              <w:rPr>
                <w:lang w:val="fr-CH"/>
              </w:rPr>
            </w:pPr>
          </w:p>
          <w:p w14:paraId="3ACDF50D" w14:textId="25125A76" w:rsidR="00833582" w:rsidRPr="009E06BB" w:rsidRDefault="00833582" w:rsidP="00833582">
            <w:pPr>
              <w:rPr>
                <w:b/>
                <w:lang w:val="fr-CH"/>
              </w:rPr>
            </w:pPr>
            <w:r w:rsidRPr="009E06BB">
              <w:rPr>
                <w:lang w:val="fr-CH"/>
              </w:rPr>
              <w:t xml:space="preserve">Pond. 2: </w:t>
            </w:r>
            <w:r w:rsidR="003C0367">
              <w:rPr>
                <w:lang w:val="fr-CH"/>
              </w:rPr>
              <w:t>20</w:t>
            </w:r>
            <w:r w:rsidRPr="009E06BB">
              <w:rPr>
                <w:lang w:val="fr-CH"/>
              </w:rPr>
              <w:t>%</w:t>
            </w:r>
          </w:p>
        </w:tc>
        <w:tc>
          <w:tcPr>
            <w:tcW w:w="6096" w:type="dxa"/>
            <w:shd w:val="clear" w:color="auto" w:fill="auto"/>
          </w:tcPr>
          <w:p w14:paraId="25FD8B3D" w14:textId="2B1C78A6" w:rsidR="00BD2E7D" w:rsidRPr="009E06BB" w:rsidRDefault="00BD2E7D" w:rsidP="00BD2E7D">
            <w:pPr>
              <w:rPr>
                <w:bCs/>
                <w:lang w:val="fr-CH"/>
              </w:rPr>
            </w:pPr>
            <w:r w:rsidRPr="009E06BB">
              <w:rPr>
                <w:lang w:val="fr-CH"/>
              </w:rPr>
              <w:t xml:space="preserve">Le montant pertinent pour l’évaluation des options correspond aux coûts </w:t>
            </w:r>
            <w:r w:rsidR="002214AC">
              <w:rPr>
                <w:lang w:val="fr-CH"/>
              </w:rPr>
              <w:t>pour</w:t>
            </w:r>
            <w:r w:rsidR="002214AC" w:rsidRPr="009E06BB">
              <w:rPr>
                <w:lang w:val="fr-CH"/>
              </w:rPr>
              <w:t xml:space="preserve"> </w:t>
            </w:r>
            <w:r w:rsidRPr="009E06BB">
              <w:rPr>
                <w:lang w:val="fr-CH"/>
              </w:rPr>
              <w:t>LP3 et LP4</w:t>
            </w:r>
            <w:r w:rsidR="002214AC">
              <w:rPr>
                <w:lang w:val="fr-CH"/>
              </w:rPr>
              <w:t xml:space="preserve"> pour les modules fonctionnels M1 à M4 </w:t>
            </w:r>
            <w:r w:rsidR="007D5647">
              <w:rPr>
                <w:lang w:val="fr-CH"/>
              </w:rPr>
              <w:t>et pour LP6</w:t>
            </w:r>
            <w:r w:rsidR="00432C33">
              <w:rPr>
                <w:lang w:val="fr-CH"/>
              </w:rPr>
              <w:t>.</w:t>
            </w:r>
          </w:p>
          <w:p w14:paraId="0AD37B34" w14:textId="1C162F86" w:rsidR="00BD2E7D" w:rsidRPr="009E06BB" w:rsidRDefault="00BD2E7D" w:rsidP="00BD2E7D">
            <w:pPr>
              <w:rPr>
                <w:bCs/>
                <w:lang w:val="fr-CH"/>
              </w:rPr>
            </w:pPr>
            <w:r w:rsidRPr="009E06BB">
              <w:rPr>
                <w:lang w:val="fr-CH"/>
              </w:rPr>
              <w:t>Listes de prix disponibles dûment complétées</w:t>
            </w:r>
            <w:r w:rsidR="0049691F">
              <w:rPr>
                <w:lang w:val="fr-CH"/>
              </w:rPr>
              <w:t>.</w:t>
            </w:r>
          </w:p>
          <w:p w14:paraId="419999CA" w14:textId="77777777" w:rsidR="00535D09" w:rsidRPr="009E06BB" w:rsidRDefault="00535D09" w:rsidP="00BD2E7D">
            <w:pPr>
              <w:rPr>
                <w:bCs/>
                <w:lang w:val="fr-CH"/>
              </w:rPr>
            </w:pPr>
          </w:p>
          <w:p w14:paraId="4B92A9CB" w14:textId="77777777" w:rsidR="00535D09" w:rsidRPr="009E06BB" w:rsidRDefault="00535D09" w:rsidP="00535D09">
            <w:pPr>
              <w:rPr>
                <w:b/>
                <w:iCs/>
                <w:lang w:val="fr-CH"/>
              </w:rPr>
            </w:pPr>
            <w:r w:rsidRPr="009E06BB">
              <w:rPr>
                <w:b/>
                <w:lang w:val="fr-CH"/>
              </w:rPr>
              <w:t>Remarque pour l’évaluation</w:t>
            </w:r>
          </w:p>
          <w:p w14:paraId="5488B0BA" w14:textId="77777777" w:rsidR="00535D09" w:rsidRPr="009E06BB" w:rsidRDefault="00535D09" w:rsidP="00535D09">
            <w:pPr>
              <w:pStyle w:val="Aufzhlung"/>
              <w:rPr>
                <w:lang w:val="fr-CH"/>
              </w:rPr>
            </w:pPr>
            <w:r w:rsidRPr="009E06BB">
              <w:rPr>
                <w:lang w:val="fr-CH"/>
              </w:rPr>
              <w:t xml:space="preserve">L’offre la plus avantageuse se voit attribuer le nombre maximal de points </w:t>
            </w:r>
          </w:p>
          <w:p w14:paraId="1AF0C390" w14:textId="77777777" w:rsidR="00535D09" w:rsidRPr="009E06BB" w:rsidRDefault="00535D09" w:rsidP="00535D09">
            <w:pPr>
              <w:pStyle w:val="Aufzhlung"/>
              <w:rPr>
                <w:lang w:val="fr-CH"/>
              </w:rPr>
            </w:pPr>
            <w:r w:rsidRPr="009E06BB">
              <w:rPr>
                <w:lang w:val="fr-CH"/>
              </w:rPr>
              <w:t>Les offres qui dépassent de 100% ou plus l’offre la plus avantageuse obtiennent 0 point</w:t>
            </w:r>
          </w:p>
          <w:p w14:paraId="6F047F15" w14:textId="218B25AF" w:rsidR="00535D09" w:rsidRPr="009E06BB" w:rsidRDefault="00535D09" w:rsidP="00535D09">
            <w:pPr>
              <w:rPr>
                <w:bCs/>
                <w:lang w:val="fr-CH"/>
              </w:rPr>
            </w:pPr>
            <w:r w:rsidRPr="009E06BB">
              <w:rPr>
                <w:lang w:val="fr-CH"/>
              </w:rPr>
              <w:t>Les prix intermédiaires obtiennent un nombre de points calculé de façon linéaire</w:t>
            </w:r>
          </w:p>
          <w:p w14:paraId="12546AD2" w14:textId="77777777" w:rsidR="00535D09" w:rsidRPr="009E06BB" w:rsidRDefault="00535D09" w:rsidP="00BD2E7D">
            <w:pPr>
              <w:rPr>
                <w:bCs/>
                <w:lang w:val="fr-CH"/>
              </w:rPr>
            </w:pPr>
          </w:p>
          <w:p w14:paraId="0A3EBD3B" w14:textId="77777777" w:rsidR="00833582" w:rsidRPr="009E06BB" w:rsidRDefault="00833582" w:rsidP="00833582">
            <w:pPr>
              <w:rPr>
                <w:bCs/>
                <w:lang w:val="fr-CH"/>
              </w:rPr>
            </w:pPr>
          </w:p>
        </w:tc>
        <w:tc>
          <w:tcPr>
            <w:tcW w:w="4819" w:type="dxa"/>
            <w:shd w:val="clear" w:color="auto" w:fill="FFF6C1"/>
          </w:tcPr>
          <w:p w14:paraId="1F49D42D" w14:textId="77777777" w:rsidR="00BF432E" w:rsidRPr="009E06BB" w:rsidRDefault="00BF432E" w:rsidP="00BF432E">
            <w:pPr>
              <w:rPr>
                <w:b/>
                <w:lang w:val="fr-CH"/>
              </w:rPr>
            </w:pPr>
            <w:r w:rsidRPr="009E06BB">
              <w:rPr>
                <w:b/>
                <w:lang w:val="fr-CH"/>
              </w:rPr>
              <w:lastRenderedPageBreak/>
              <w:t>Remplissage du formulaire</w:t>
            </w:r>
            <w:r w:rsidRPr="009E06BB">
              <w:rPr>
                <w:b/>
                <w:lang w:val="fr-CH"/>
              </w:rPr>
              <w:br w:type="page"/>
            </w:r>
          </w:p>
          <w:p w14:paraId="6E5D74C6" w14:textId="724CD4AA" w:rsidR="00BF432E" w:rsidRPr="009E06BB" w:rsidRDefault="00BF432E" w:rsidP="00BF432E">
            <w:pPr>
              <w:rPr>
                <w:bCs/>
                <w:lang w:val="fr-CH"/>
              </w:rPr>
            </w:pPr>
            <w:r w:rsidRPr="009E06BB">
              <w:rPr>
                <w:lang w:val="fr-CH"/>
              </w:rPr>
              <w:t xml:space="preserve">L’annexe </w:t>
            </w:r>
            <w:r w:rsidRPr="009E06BB">
              <w:rPr>
                <w:i/>
                <w:lang w:val="fr-CH"/>
              </w:rPr>
              <w:t>«CAd Prix»</w:t>
            </w:r>
            <w:r w:rsidRPr="009E06BB">
              <w:rPr>
                <w:lang w:val="fr-CH"/>
              </w:rPr>
              <w:t xml:space="preserve"> doit être remise dûment complétée, conformément au chapitre «Structure de l’offre» des DO.</w:t>
            </w:r>
          </w:p>
          <w:p w14:paraId="1255B323" w14:textId="77777777" w:rsidR="00BF432E" w:rsidRPr="009E06BB" w:rsidRDefault="00BF432E" w:rsidP="00BF432E">
            <w:pPr>
              <w:rPr>
                <w:bCs/>
                <w:lang w:val="fr-CH"/>
              </w:rPr>
            </w:pPr>
          </w:p>
          <w:p w14:paraId="54C9FDE2" w14:textId="77777777" w:rsidR="00BF432E" w:rsidRPr="009E06BB" w:rsidRDefault="00BF432E" w:rsidP="00BF432E">
            <w:pPr>
              <w:rPr>
                <w:lang w:val="fr-CH"/>
              </w:rPr>
            </w:pPr>
          </w:p>
          <w:p w14:paraId="641D9DF1" w14:textId="77777777" w:rsidR="00BF432E" w:rsidRPr="009E06BB" w:rsidRDefault="00BF432E" w:rsidP="00BF432E">
            <w:pPr>
              <w:rPr>
                <w:lang w:val="fr-CH"/>
              </w:rPr>
            </w:pPr>
            <w:r w:rsidRPr="009E06BB">
              <w:rPr>
                <w:lang w:val="fr-CH"/>
              </w:rPr>
              <w:t>Remarques</w:t>
            </w:r>
          </w:p>
          <w:p w14:paraId="23EE3B2E" w14:textId="70003010" w:rsidR="00833582" w:rsidRPr="009E06BB" w:rsidRDefault="00BF432E" w:rsidP="00BF432E">
            <w:pPr>
              <w:rPr>
                <w:bCs/>
                <w:u w:val="single"/>
                <w:lang w:val="fr-CH"/>
              </w:rPr>
            </w:pPr>
            <w:r w:rsidRPr="009E06BB">
              <w:rPr>
                <w:lang w:val="fr-CH"/>
              </w:rPr>
              <w:fldChar w:fldCharType="begin">
                <w:ffData>
                  <w:name w:val="Text6"/>
                  <w:enabled/>
                  <w:calcOnExit w:val="0"/>
                  <w:textInput/>
                </w:ffData>
              </w:fldChar>
            </w:r>
            <w:r w:rsidRPr="009E06BB">
              <w:rPr>
                <w:lang w:val="fr-CH"/>
              </w:rPr>
              <w:instrText xml:space="preserve"> FORMTEXT </w:instrText>
            </w:r>
            <w:r w:rsidRPr="009E06BB">
              <w:rPr>
                <w:lang w:val="fr-CH"/>
              </w:rPr>
            </w:r>
            <w:r w:rsidRPr="009E06BB">
              <w:rPr>
                <w:lang w:val="fr-CH"/>
              </w:rPr>
              <w:fldChar w:fldCharType="separate"/>
            </w:r>
            <w:r w:rsidR="0049691F">
              <w:rPr>
                <w:noProof/>
                <w:lang w:val="fr-CH"/>
              </w:rPr>
              <w:t> </w:t>
            </w:r>
            <w:r w:rsidR="0049691F">
              <w:rPr>
                <w:noProof/>
                <w:lang w:val="fr-CH"/>
              </w:rPr>
              <w:t> </w:t>
            </w:r>
            <w:r w:rsidR="0049691F">
              <w:rPr>
                <w:noProof/>
                <w:lang w:val="fr-CH"/>
              </w:rPr>
              <w:t> </w:t>
            </w:r>
            <w:r w:rsidR="0049691F">
              <w:rPr>
                <w:noProof/>
                <w:lang w:val="fr-CH"/>
              </w:rPr>
              <w:t> </w:t>
            </w:r>
            <w:r w:rsidR="0049691F">
              <w:rPr>
                <w:noProof/>
                <w:lang w:val="fr-CH"/>
              </w:rPr>
              <w:t> </w:t>
            </w:r>
            <w:r w:rsidRPr="009E06BB">
              <w:rPr>
                <w:lang w:val="fr-CH"/>
              </w:rPr>
              <w:fldChar w:fldCharType="end"/>
            </w:r>
          </w:p>
        </w:tc>
      </w:tr>
      <w:tr w:rsidR="00DC6AC5" w:rsidRPr="009E06BB" w14:paraId="781D29FE" w14:textId="77777777" w:rsidTr="005B58F2">
        <w:trPr>
          <w:trHeight w:val="476"/>
          <w:tblHeader/>
        </w:trPr>
        <w:tc>
          <w:tcPr>
            <w:tcW w:w="647" w:type="dxa"/>
          </w:tcPr>
          <w:p w14:paraId="11ED8E6C" w14:textId="1CDB140E" w:rsidR="00DC6AC5" w:rsidRPr="009E06BB" w:rsidRDefault="00DC6AC5" w:rsidP="00833582">
            <w:pPr>
              <w:rPr>
                <w:b/>
                <w:lang w:val="fr-CH"/>
              </w:rPr>
            </w:pPr>
            <w:r>
              <w:rPr>
                <w:b/>
                <w:lang w:val="fr-CH"/>
              </w:rPr>
              <w:t>3.3</w:t>
            </w:r>
          </w:p>
        </w:tc>
        <w:tc>
          <w:tcPr>
            <w:tcW w:w="3260" w:type="dxa"/>
            <w:shd w:val="clear" w:color="auto" w:fill="auto"/>
          </w:tcPr>
          <w:p w14:paraId="3E19EB9B" w14:textId="77777777" w:rsidR="00D01FEB" w:rsidRPr="009E06BB" w:rsidRDefault="00D01FEB" w:rsidP="00D01FEB">
            <w:pPr>
              <w:rPr>
                <w:b/>
                <w:lang w:val="fr-CH"/>
              </w:rPr>
            </w:pPr>
            <w:r w:rsidRPr="009E06BB">
              <w:rPr>
                <w:b/>
                <w:lang w:val="fr-CH"/>
              </w:rPr>
              <w:t xml:space="preserve">Prix </w:t>
            </w:r>
            <w:r>
              <w:rPr>
                <w:b/>
                <w:lang w:val="fr-CH"/>
              </w:rPr>
              <w:t>pour</w:t>
            </w:r>
            <w:r w:rsidRPr="009E06BB">
              <w:rPr>
                <w:b/>
                <w:lang w:val="fr-CH"/>
              </w:rPr>
              <w:t xml:space="preserve"> options</w:t>
            </w:r>
          </w:p>
          <w:p w14:paraId="037076E6" w14:textId="77777777" w:rsidR="00D01FEB" w:rsidRPr="009E06BB" w:rsidRDefault="00D01FEB" w:rsidP="00D01FEB">
            <w:pPr>
              <w:rPr>
                <w:lang w:val="fr-CH"/>
              </w:rPr>
            </w:pPr>
          </w:p>
          <w:p w14:paraId="617D79C2" w14:textId="2ED38882" w:rsidR="00DC6AC5" w:rsidRPr="009E06BB" w:rsidRDefault="00D01FEB" w:rsidP="00D01FEB">
            <w:pPr>
              <w:rPr>
                <w:b/>
                <w:lang w:val="fr-CH"/>
              </w:rPr>
            </w:pPr>
            <w:r w:rsidRPr="009E06BB">
              <w:rPr>
                <w:lang w:val="fr-CH"/>
              </w:rPr>
              <w:t xml:space="preserve">Pond. 2: </w:t>
            </w:r>
            <w:r>
              <w:rPr>
                <w:lang w:val="fr-CH"/>
              </w:rPr>
              <w:t>5</w:t>
            </w:r>
            <w:r w:rsidRPr="009E06BB">
              <w:rPr>
                <w:lang w:val="fr-CH"/>
              </w:rPr>
              <w:t>%</w:t>
            </w:r>
          </w:p>
        </w:tc>
        <w:tc>
          <w:tcPr>
            <w:tcW w:w="6096" w:type="dxa"/>
            <w:shd w:val="clear" w:color="auto" w:fill="auto"/>
          </w:tcPr>
          <w:p w14:paraId="0D62A7C9" w14:textId="752C6849" w:rsidR="00D01FEB" w:rsidRPr="009E06BB" w:rsidRDefault="00D01FEB" w:rsidP="00D01FEB">
            <w:pPr>
              <w:rPr>
                <w:bCs/>
                <w:lang w:val="fr-CH"/>
              </w:rPr>
            </w:pPr>
            <w:r w:rsidRPr="009E06BB">
              <w:rPr>
                <w:lang w:val="fr-CH"/>
              </w:rPr>
              <w:t xml:space="preserve">Le montant pertinent pour l’évaluation des options correspond aux coûts </w:t>
            </w:r>
            <w:r>
              <w:rPr>
                <w:lang w:val="fr-CH"/>
              </w:rPr>
              <w:t>pour</w:t>
            </w:r>
            <w:r w:rsidRPr="009E06BB">
              <w:rPr>
                <w:lang w:val="fr-CH"/>
              </w:rPr>
              <w:t xml:space="preserve"> LP3 et LP4</w:t>
            </w:r>
            <w:r>
              <w:rPr>
                <w:lang w:val="fr-CH"/>
              </w:rPr>
              <w:t xml:space="preserve"> pour les modules fonctionnels </w:t>
            </w:r>
            <w:r w:rsidR="00432C33">
              <w:rPr>
                <w:lang w:val="fr-CH"/>
              </w:rPr>
              <w:t>M5</w:t>
            </w:r>
            <w:r>
              <w:rPr>
                <w:lang w:val="fr-CH"/>
              </w:rPr>
              <w:t xml:space="preserve"> à M</w:t>
            </w:r>
            <w:r w:rsidR="00432C33">
              <w:rPr>
                <w:lang w:val="fr-CH"/>
              </w:rPr>
              <w:t>9.</w:t>
            </w:r>
          </w:p>
          <w:p w14:paraId="1CCB6F69" w14:textId="77777777" w:rsidR="00D01FEB" w:rsidRPr="009E06BB" w:rsidRDefault="00D01FEB" w:rsidP="00D01FEB">
            <w:pPr>
              <w:rPr>
                <w:bCs/>
                <w:lang w:val="fr-CH"/>
              </w:rPr>
            </w:pPr>
            <w:r w:rsidRPr="009E06BB">
              <w:rPr>
                <w:lang w:val="fr-CH"/>
              </w:rPr>
              <w:t>Listes de prix disponibles dûment complétées et report des coûts dans le présent document.</w:t>
            </w:r>
          </w:p>
          <w:p w14:paraId="437DDB1F" w14:textId="77777777" w:rsidR="00D01FEB" w:rsidRPr="009E06BB" w:rsidRDefault="00D01FEB" w:rsidP="00D01FEB">
            <w:pPr>
              <w:rPr>
                <w:bCs/>
                <w:lang w:val="fr-CH"/>
              </w:rPr>
            </w:pPr>
          </w:p>
          <w:p w14:paraId="4E4C1525" w14:textId="77777777" w:rsidR="00D01FEB" w:rsidRPr="009E06BB" w:rsidRDefault="00D01FEB" w:rsidP="00D01FEB">
            <w:pPr>
              <w:rPr>
                <w:b/>
                <w:iCs/>
                <w:lang w:val="fr-CH"/>
              </w:rPr>
            </w:pPr>
            <w:r w:rsidRPr="009E06BB">
              <w:rPr>
                <w:b/>
                <w:lang w:val="fr-CH"/>
              </w:rPr>
              <w:t>Remarque pour l’évaluation</w:t>
            </w:r>
          </w:p>
          <w:p w14:paraId="57D400F6" w14:textId="77777777" w:rsidR="00D01FEB" w:rsidRPr="009E06BB" w:rsidRDefault="00D01FEB" w:rsidP="00D01FEB">
            <w:pPr>
              <w:pStyle w:val="Aufzhlung"/>
              <w:rPr>
                <w:lang w:val="fr-CH"/>
              </w:rPr>
            </w:pPr>
            <w:r w:rsidRPr="009E06BB">
              <w:rPr>
                <w:lang w:val="fr-CH"/>
              </w:rPr>
              <w:t xml:space="preserve">L’offre la plus avantageuse se voit attribuer le nombre maximal de points </w:t>
            </w:r>
          </w:p>
          <w:p w14:paraId="7B35B302" w14:textId="77777777" w:rsidR="00D01FEB" w:rsidRPr="009E06BB" w:rsidRDefault="00D01FEB" w:rsidP="00D01FEB">
            <w:pPr>
              <w:pStyle w:val="Aufzhlung"/>
              <w:rPr>
                <w:lang w:val="fr-CH"/>
              </w:rPr>
            </w:pPr>
            <w:r w:rsidRPr="009E06BB">
              <w:rPr>
                <w:lang w:val="fr-CH"/>
              </w:rPr>
              <w:t>Les offres qui dépassent de 100% ou plus l’offre la plus avantageuse obtiennent 0 point</w:t>
            </w:r>
          </w:p>
          <w:p w14:paraId="5621452B" w14:textId="77777777" w:rsidR="00D01FEB" w:rsidRPr="009E06BB" w:rsidRDefault="00D01FEB" w:rsidP="00D01FEB">
            <w:pPr>
              <w:rPr>
                <w:bCs/>
                <w:lang w:val="fr-CH"/>
              </w:rPr>
            </w:pPr>
            <w:r w:rsidRPr="009E06BB">
              <w:rPr>
                <w:lang w:val="fr-CH"/>
              </w:rPr>
              <w:t>Les prix intermédiaires obtiennent un nombre de points calculé de façon linéaire</w:t>
            </w:r>
          </w:p>
          <w:p w14:paraId="25B4EDFB" w14:textId="77777777" w:rsidR="00DC6AC5" w:rsidRPr="009E06BB" w:rsidRDefault="00DC6AC5" w:rsidP="00BD2E7D">
            <w:pPr>
              <w:rPr>
                <w:lang w:val="fr-CH"/>
              </w:rPr>
            </w:pPr>
          </w:p>
        </w:tc>
        <w:tc>
          <w:tcPr>
            <w:tcW w:w="4819" w:type="dxa"/>
            <w:shd w:val="clear" w:color="auto" w:fill="FFF6C1"/>
          </w:tcPr>
          <w:p w14:paraId="275FE455" w14:textId="77777777" w:rsidR="00F733C7" w:rsidRPr="009E06BB" w:rsidRDefault="00F733C7" w:rsidP="00F733C7">
            <w:pPr>
              <w:rPr>
                <w:b/>
                <w:lang w:val="fr-CH"/>
              </w:rPr>
            </w:pPr>
            <w:r w:rsidRPr="009E06BB">
              <w:rPr>
                <w:b/>
                <w:lang w:val="fr-CH"/>
              </w:rPr>
              <w:t>Remplissage du formulaire</w:t>
            </w:r>
            <w:r w:rsidRPr="009E06BB">
              <w:rPr>
                <w:b/>
                <w:lang w:val="fr-CH"/>
              </w:rPr>
              <w:br w:type="page"/>
            </w:r>
          </w:p>
          <w:p w14:paraId="24C763FA" w14:textId="77777777" w:rsidR="00F733C7" w:rsidRPr="009E06BB" w:rsidRDefault="00F733C7" w:rsidP="00F733C7">
            <w:pPr>
              <w:rPr>
                <w:bCs/>
                <w:lang w:val="fr-CH"/>
              </w:rPr>
            </w:pPr>
            <w:r w:rsidRPr="009E06BB">
              <w:rPr>
                <w:lang w:val="fr-CH"/>
              </w:rPr>
              <w:t xml:space="preserve">L’annexe </w:t>
            </w:r>
            <w:r w:rsidRPr="009E06BB">
              <w:rPr>
                <w:i/>
                <w:lang w:val="fr-CH"/>
              </w:rPr>
              <w:t>«CAd Prix»</w:t>
            </w:r>
            <w:r w:rsidRPr="009E06BB">
              <w:rPr>
                <w:lang w:val="fr-CH"/>
              </w:rPr>
              <w:t xml:space="preserve"> doit être remise dûment complétée, conformément au chapitre «Structure de l’offre» des DO.</w:t>
            </w:r>
          </w:p>
          <w:p w14:paraId="10533228" w14:textId="77777777" w:rsidR="00F733C7" w:rsidRPr="009E06BB" w:rsidRDefault="00F733C7" w:rsidP="00F733C7">
            <w:pPr>
              <w:rPr>
                <w:bCs/>
                <w:lang w:val="fr-CH"/>
              </w:rPr>
            </w:pPr>
          </w:p>
          <w:p w14:paraId="62B7F52E" w14:textId="77777777" w:rsidR="00F733C7" w:rsidRPr="009E06BB" w:rsidRDefault="00F733C7" w:rsidP="00F733C7">
            <w:pPr>
              <w:rPr>
                <w:lang w:val="fr-CH"/>
              </w:rPr>
            </w:pPr>
          </w:p>
          <w:p w14:paraId="4645DEF2" w14:textId="77777777" w:rsidR="00F733C7" w:rsidRPr="009E06BB" w:rsidRDefault="00F733C7" w:rsidP="00F733C7">
            <w:pPr>
              <w:rPr>
                <w:lang w:val="fr-CH"/>
              </w:rPr>
            </w:pPr>
            <w:r w:rsidRPr="009E06BB">
              <w:rPr>
                <w:lang w:val="fr-CH"/>
              </w:rPr>
              <w:t>Remarques</w:t>
            </w:r>
          </w:p>
          <w:p w14:paraId="291A7C3E" w14:textId="19EC8565" w:rsidR="00DC6AC5" w:rsidRPr="009E06BB" w:rsidRDefault="00F733C7" w:rsidP="00F733C7">
            <w:pPr>
              <w:rPr>
                <w:b/>
                <w:lang w:val="fr-CH"/>
              </w:rPr>
            </w:pPr>
            <w:r w:rsidRPr="009E06BB">
              <w:rPr>
                <w:lang w:val="fr-CH"/>
              </w:rPr>
              <w:fldChar w:fldCharType="begin">
                <w:ffData>
                  <w:name w:val="Text6"/>
                  <w:enabled/>
                  <w:calcOnExit w:val="0"/>
                  <w:textInput/>
                </w:ffData>
              </w:fldChar>
            </w:r>
            <w:r w:rsidRPr="009E06BB">
              <w:rPr>
                <w:lang w:val="fr-CH"/>
              </w:rPr>
              <w:instrText xml:space="preserve"> FORMTEXT </w:instrText>
            </w:r>
            <w:r w:rsidRPr="009E06BB">
              <w:rPr>
                <w:lang w:val="fr-CH"/>
              </w:rPr>
            </w:r>
            <w:r w:rsidRPr="009E06BB">
              <w:rPr>
                <w:lang w:val="fr-CH"/>
              </w:rPr>
              <w:fldChar w:fldCharType="separate"/>
            </w:r>
            <w:r w:rsidR="0049691F">
              <w:rPr>
                <w:noProof/>
                <w:lang w:val="fr-CH"/>
              </w:rPr>
              <w:t> </w:t>
            </w:r>
            <w:r w:rsidR="0049691F">
              <w:rPr>
                <w:noProof/>
                <w:lang w:val="fr-CH"/>
              </w:rPr>
              <w:t> </w:t>
            </w:r>
            <w:r w:rsidR="0049691F">
              <w:rPr>
                <w:noProof/>
                <w:lang w:val="fr-CH"/>
              </w:rPr>
              <w:t> </w:t>
            </w:r>
            <w:r w:rsidR="0049691F">
              <w:rPr>
                <w:noProof/>
                <w:lang w:val="fr-CH"/>
              </w:rPr>
              <w:t> </w:t>
            </w:r>
            <w:r w:rsidR="0049691F">
              <w:rPr>
                <w:noProof/>
                <w:lang w:val="fr-CH"/>
              </w:rPr>
              <w:t> </w:t>
            </w:r>
            <w:r w:rsidRPr="009E06BB">
              <w:rPr>
                <w:lang w:val="fr-CH"/>
              </w:rPr>
              <w:fldChar w:fldCharType="end"/>
            </w:r>
          </w:p>
        </w:tc>
      </w:tr>
      <w:tr w:rsidR="00833582" w:rsidRPr="009E06BB" w14:paraId="5838B034" w14:textId="77777777" w:rsidTr="005B58F2">
        <w:trPr>
          <w:trHeight w:val="476"/>
          <w:tblHeader/>
        </w:trPr>
        <w:tc>
          <w:tcPr>
            <w:tcW w:w="647" w:type="dxa"/>
          </w:tcPr>
          <w:p w14:paraId="62547512" w14:textId="2C831FE8" w:rsidR="00833582" w:rsidRPr="009E06BB" w:rsidRDefault="00833582" w:rsidP="00833582">
            <w:pPr>
              <w:rPr>
                <w:b/>
                <w:bCs/>
                <w:lang w:val="fr-CH"/>
              </w:rPr>
            </w:pPr>
            <w:r w:rsidRPr="009E06BB">
              <w:rPr>
                <w:b/>
                <w:lang w:val="fr-CH"/>
              </w:rPr>
              <w:t>3.</w:t>
            </w:r>
            <w:r w:rsidR="00DC6AC5">
              <w:rPr>
                <w:b/>
                <w:lang w:val="fr-CH"/>
              </w:rPr>
              <w:t>4</w:t>
            </w:r>
          </w:p>
        </w:tc>
        <w:tc>
          <w:tcPr>
            <w:tcW w:w="3260" w:type="dxa"/>
            <w:shd w:val="clear" w:color="auto" w:fill="auto"/>
          </w:tcPr>
          <w:p w14:paraId="5D1C0C2E" w14:textId="77777777" w:rsidR="00833582" w:rsidRPr="009E06BB" w:rsidRDefault="00833582" w:rsidP="00833582">
            <w:pPr>
              <w:rPr>
                <w:b/>
                <w:lang w:val="fr-CH"/>
              </w:rPr>
            </w:pPr>
            <w:r w:rsidRPr="009E06BB">
              <w:rPr>
                <w:b/>
                <w:lang w:val="fr-CH"/>
              </w:rPr>
              <w:t>Rate card</w:t>
            </w:r>
          </w:p>
          <w:p w14:paraId="180C15FB" w14:textId="77777777" w:rsidR="00833582" w:rsidRPr="009E06BB" w:rsidRDefault="00833582" w:rsidP="00833582">
            <w:pPr>
              <w:rPr>
                <w:lang w:val="fr-CH"/>
              </w:rPr>
            </w:pPr>
          </w:p>
          <w:p w14:paraId="22B40CC9" w14:textId="5E16C3CB" w:rsidR="00833582" w:rsidRPr="009E06BB" w:rsidRDefault="00833582" w:rsidP="00833582">
            <w:pPr>
              <w:rPr>
                <w:bCs/>
                <w:lang w:val="fr-CH"/>
              </w:rPr>
            </w:pPr>
            <w:r w:rsidRPr="009E06BB">
              <w:rPr>
                <w:lang w:val="fr-CH"/>
              </w:rPr>
              <w:t>Pond. 2: 5%</w:t>
            </w:r>
          </w:p>
        </w:tc>
        <w:tc>
          <w:tcPr>
            <w:tcW w:w="6096" w:type="dxa"/>
            <w:shd w:val="clear" w:color="auto" w:fill="auto"/>
          </w:tcPr>
          <w:p w14:paraId="705B433F" w14:textId="77777777" w:rsidR="00833582" w:rsidRPr="009E06BB" w:rsidRDefault="00833582" w:rsidP="00833582">
            <w:pPr>
              <w:rPr>
                <w:bCs/>
                <w:lang w:val="fr-CH"/>
              </w:rPr>
            </w:pPr>
            <w:r w:rsidRPr="009E06BB">
              <w:rPr>
                <w:lang w:val="fr-CH"/>
              </w:rPr>
              <w:t>La Rate card présente une vue d’ensemble des rôles, anciennetés comprises, qui peuvent être nécessaires dans le cadre de la fourniture de prestations. Pour les rôles et les anciennetés énumérés, il convient d’indiquer des taux journaliers correspondant aux prestations fournies sur place et à distance.</w:t>
            </w:r>
          </w:p>
          <w:p w14:paraId="782FCBFB" w14:textId="77777777" w:rsidR="00833582" w:rsidRPr="009E06BB" w:rsidRDefault="00833582" w:rsidP="00833582">
            <w:pPr>
              <w:rPr>
                <w:bCs/>
                <w:lang w:val="fr-CH"/>
              </w:rPr>
            </w:pPr>
          </w:p>
          <w:p w14:paraId="5CB16560" w14:textId="77777777" w:rsidR="00833582" w:rsidRPr="009E06BB" w:rsidRDefault="00833582" w:rsidP="00833582">
            <w:pPr>
              <w:rPr>
                <w:b/>
                <w:iCs/>
                <w:lang w:val="fr-CH"/>
              </w:rPr>
            </w:pPr>
            <w:r w:rsidRPr="009E06BB">
              <w:rPr>
                <w:b/>
                <w:lang w:val="fr-CH"/>
              </w:rPr>
              <w:t>Remarque pour l’évaluation</w:t>
            </w:r>
          </w:p>
          <w:p w14:paraId="1C8B0432" w14:textId="77777777" w:rsidR="00833582" w:rsidRPr="009E06BB" w:rsidRDefault="00833582" w:rsidP="00833582">
            <w:pPr>
              <w:pStyle w:val="Aufzhlung"/>
              <w:rPr>
                <w:lang w:val="fr-CH"/>
              </w:rPr>
            </w:pPr>
            <w:r w:rsidRPr="009E06BB">
              <w:rPr>
                <w:lang w:val="fr-CH"/>
              </w:rPr>
              <w:t>L’offre la plus avantageuse se voit attribuer le nombre maximal de points</w:t>
            </w:r>
          </w:p>
          <w:p w14:paraId="5962D0F9" w14:textId="77777777" w:rsidR="00833582" w:rsidRPr="009E06BB" w:rsidRDefault="00833582" w:rsidP="00833582">
            <w:pPr>
              <w:pStyle w:val="Aufzhlung"/>
              <w:rPr>
                <w:lang w:val="fr-CH"/>
              </w:rPr>
            </w:pPr>
            <w:r w:rsidRPr="009E06BB">
              <w:rPr>
                <w:lang w:val="fr-CH"/>
              </w:rPr>
              <w:t>Les offres qui dépassent de 25% ou plus l’offre la plus avantageuse obtiennent 0 point</w:t>
            </w:r>
          </w:p>
          <w:p w14:paraId="797663C1" w14:textId="3ADA079C" w:rsidR="00833582" w:rsidRPr="009E06BB" w:rsidRDefault="00833582" w:rsidP="00833582">
            <w:pPr>
              <w:pStyle w:val="Aufzhlung"/>
              <w:rPr>
                <w:lang w:val="fr-CH"/>
              </w:rPr>
            </w:pPr>
            <w:r w:rsidRPr="009E06BB">
              <w:rPr>
                <w:lang w:val="fr-CH"/>
              </w:rPr>
              <w:lastRenderedPageBreak/>
              <w:t>Les prix intermédiaires obtiennent un nombre de points calculé de façon linéaire</w:t>
            </w:r>
          </w:p>
          <w:p w14:paraId="4DDDD501" w14:textId="77777777" w:rsidR="00833582" w:rsidRPr="009E06BB" w:rsidRDefault="00833582" w:rsidP="00833582">
            <w:pPr>
              <w:rPr>
                <w:bCs/>
                <w:lang w:val="fr-CH"/>
              </w:rPr>
            </w:pPr>
          </w:p>
          <w:p w14:paraId="524164CC" w14:textId="77777777" w:rsidR="00833582" w:rsidRPr="009E06BB" w:rsidRDefault="00833582" w:rsidP="00833582">
            <w:pPr>
              <w:rPr>
                <w:lang w:val="fr-CH"/>
              </w:rPr>
            </w:pPr>
            <w:r w:rsidRPr="009E06BB">
              <w:rPr>
                <w:lang w:val="fr-CH"/>
              </w:rPr>
              <w:t>Chaque taux (rôles, anciennetés, sur place, à distance) de la Rate card est pris en compte dans l’évaluation. Les offres incomplètes (p. ex. taux avec prix «nul») n’obtiennent aucun point.</w:t>
            </w:r>
          </w:p>
        </w:tc>
        <w:tc>
          <w:tcPr>
            <w:tcW w:w="4819" w:type="dxa"/>
            <w:shd w:val="clear" w:color="auto" w:fill="FFF6C1"/>
          </w:tcPr>
          <w:p w14:paraId="31C4D35B" w14:textId="77777777" w:rsidR="00833582" w:rsidRPr="009E06BB" w:rsidRDefault="00833582" w:rsidP="00833582">
            <w:pPr>
              <w:rPr>
                <w:b/>
                <w:lang w:val="fr-CH"/>
              </w:rPr>
            </w:pPr>
            <w:r w:rsidRPr="009E06BB">
              <w:rPr>
                <w:b/>
                <w:lang w:val="fr-CH"/>
              </w:rPr>
              <w:lastRenderedPageBreak/>
              <w:t>Remplissage du formulaire</w:t>
            </w:r>
            <w:r w:rsidRPr="009E06BB">
              <w:rPr>
                <w:b/>
                <w:lang w:val="fr-CH"/>
              </w:rPr>
              <w:br w:type="page"/>
            </w:r>
          </w:p>
          <w:p w14:paraId="66ED1D74" w14:textId="2F0EADB4" w:rsidR="00833582" w:rsidRPr="009E06BB" w:rsidRDefault="00833582" w:rsidP="00833582">
            <w:pPr>
              <w:rPr>
                <w:bCs/>
                <w:lang w:val="fr-CH"/>
              </w:rPr>
            </w:pPr>
            <w:r w:rsidRPr="009E06BB">
              <w:rPr>
                <w:lang w:val="fr-CH"/>
              </w:rPr>
              <w:t>L’annexe «CAd Prix</w:t>
            </w:r>
            <w:r w:rsidRPr="009E06BB">
              <w:rPr>
                <w:i/>
                <w:lang w:val="fr-CH"/>
              </w:rPr>
              <w:t>»</w:t>
            </w:r>
            <w:r w:rsidRPr="009E06BB">
              <w:rPr>
                <w:lang w:val="fr-CH"/>
              </w:rPr>
              <w:t xml:space="preserve"> doit être remise dûment complétée, conformément au chapitre «Structure de l’offre» des DO.</w:t>
            </w:r>
          </w:p>
          <w:p w14:paraId="318FCB5A" w14:textId="77777777" w:rsidR="00833582" w:rsidRPr="009E06BB" w:rsidRDefault="00833582" w:rsidP="00833582">
            <w:pPr>
              <w:rPr>
                <w:bCs/>
                <w:lang w:val="fr-CH"/>
              </w:rPr>
            </w:pPr>
          </w:p>
          <w:p w14:paraId="5FC9ADA7" w14:textId="77777777" w:rsidR="00833582" w:rsidRPr="009E06BB" w:rsidRDefault="00833582" w:rsidP="00833582">
            <w:pPr>
              <w:rPr>
                <w:lang w:val="fr-CH"/>
              </w:rPr>
            </w:pPr>
          </w:p>
          <w:p w14:paraId="5717CDE3" w14:textId="77777777" w:rsidR="00833582" w:rsidRPr="009E06BB" w:rsidRDefault="00833582" w:rsidP="00833582">
            <w:pPr>
              <w:rPr>
                <w:lang w:val="fr-CH"/>
              </w:rPr>
            </w:pPr>
            <w:r w:rsidRPr="009E06BB">
              <w:rPr>
                <w:lang w:val="fr-CH"/>
              </w:rPr>
              <w:t>Remarques</w:t>
            </w:r>
          </w:p>
          <w:p w14:paraId="47425EB9" w14:textId="4D3AA75E" w:rsidR="00833582" w:rsidRPr="009E06BB" w:rsidRDefault="00833582" w:rsidP="00833582">
            <w:pPr>
              <w:rPr>
                <w:bCs/>
                <w:lang w:val="fr-CH"/>
              </w:rPr>
            </w:pPr>
            <w:r w:rsidRPr="009E06BB">
              <w:rPr>
                <w:lang w:val="fr-CH"/>
              </w:rPr>
              <w:fldChar w:fldCharType="begin">
                <w:ffData>
                  <w:name w:val="Text6"/>
                  <w:enabled/>
                  <w:calcOnExit w:val="0"/>
                  <w:textInput/>
                </w:ffData>
              </w:fldChar>
            </w:r>
            <w:r w:rsidRPr="009E06BB">
              <w:rPr>
                <w:lang w:val="fr-CH"/>
              </w:rPr>
              <w:instrText xml:space="preserve"> FORMTEXT </w:instrText>
            </w:r>
            <w:r w:rsidRPr="009E06BB">
              <w:rPr>
                <w:lang w:val="fr-CH"/>
              </w:rPr>
            </w:r>
            <w:r w:rsidRPr="009E06BB">
              <w:rPr>
                <w:lang w:val="fr-CH"/>
              </w:rPr>
              <w:fldChar w:fldCharType="separate"/>
            </w:r>
            <w:r w:rsidR="0049691F">
              <w:rPr>
                <w:noProof/>
                <w:lang w:val="fr-CH"/>
              </w:rPr>
              <w:t> </w:t>
            </w:r>
            <w:r w:rsidR="0049691F">
              <w:rPr>
                <w:noProof/>
                <w:lang w:val="fr-CH"/>
              </w:rPr>
              <w:t> </w:t>
            </w:r>
            <w:r w:rsidR="0049691F">
              <w:rPr>
                <w:noProof/>
                <w:lang w:val="fr-CH"/>
              </w:rPr>
              <w:t> </w:t>
            </w:r>
            <w:r w:rsidR="0049691F">
              <w:rPr>
                <w:noProof/>
                <w:lang w:val="fr-CH"/>
              </w:rPr>
              <w:t> </w:t>
            </w:r>
            <w:r w:rsidR="0049691F">
              <w:rPr>
                <w:noProof/>
                <w:lang w:val="fr-CH"/>
              </w:rPr>
              <w:t> </w:t>
            </w:r>
            <w:r w:rsidRPr="009E06BB">
              <w:rPr>
                <w:lang w:val="fr-CH"/>
              </w:rPr>
              <w:fldChar w:fldCharType="end"/>
            </w:r>
          </w:p>
        </w:tc>
      </w:tr>
    </w:tbl>
    <w:p w14:paraId="7091C67E" w14:textId="77777777" w:rsidR="007412C7" w:rsidRPr="009E06BB" w:rsidRDefault="007412C7" w:rsidP="007412C7">
      <w:pPr>
        <w:rPr>
          <w:lang w:val="fr-CH"/>
        </w:rPr>
      </w:pPr>
    </w:p>
    <w:p w14:paraId="69C38DDC" w14:textId="77777777" w:rsidR="007412C7" w:rsidRPr="009E06BB" w:rsidRDefault="007412C7" w:rsidP="007412C7">
      <w:pPr>
        <w:pStyle w:val="Einzug1"/>
        <w:spacing w:after="0"/>
        <w:ind w:left="567" w:hanging="425"/>
        <w:rPr>
          <w:i/>
          <w:sz w:val="18"/>
          <w:szCs w:val="20"/>
          <w:lang w:val="fr-CH"/>
        </w:rPr>
      </w:pPr>
      <w:r w:rsidRPr="009E06BB">
        <w:rPr>
          <w:i/>
          <w:sz w:val="18"/>
          <w:u w:val="single"/>
          <w:lang w:val="fr-CH"/>
        </w:rPr>
        <w:t>Légende</w:t>
      </w:r>
    </w:p>
    <w:p w14:paraId="0E2627E9" w14:textId="77777777" w:rsidR="007412C7" w:rsidRPr="009E06BB" w:rsidRDefault="007412C7" w:rsidP="007412C7">
      <w:pPr>
        <w:pStyle w:val="Einzug1"/>
        <w:tabs>
          <w:tab w:val="left" w:pos="2160"/>
        </w:tabs>
        <w:spacing w:after="0" w:line="259" w:lineRule="auto"/>
        <w:ind w:left="0" w:firstLine="142"/>
        <w:rPr>
          <w:i/>
          <w:sz w:val="18"/>
          <w:szCs w:val="20"/>
          <w:lang w:val="fr-CH"/>
        </w:rPr>
      </w:pPr>
      <w:r w:rsidRPr="009E06BB">
        <w:rPr>
          <w:i/>
          <w:sz w:val="18"/>
          <w:lang w:val="fr-CH"/>
        </w:rPr>
        <w:t>Pond. 1 = pondération 1</w:t>
      </w:r>
      <w:r w:rsidRPr="009E06BB">
        <w:rPr>
          <w:i/>
          <w:sz w:val="18"/>
          <w:lang w:val="fr-CH"/>
        </w:rPr>
        <w:tab/>
        <w:t>Pourcentage du critère principal concerné dans l’évaluation totale (100%)</w:t>
      </w:r>
    </w:p>
    <w:p w14:paraId="68D5DA34" w14:textId="77777777" w:rsidR="007412C7" w:rsidRPr="009E06BB" w:rsidRDefault="007412C7" w:rsidP="007412C7">
      <w:pPr>
        <w:pStyle w:val="Einzug1"/>
        <w:tabs>
          <w:tab w:val="left" w:pos="2160"/>
        </w:tabs>
        <w:spacing w:after="0" w:line="259" w:lineRule="auto"/>
        <w:ind w:left="0" w:firstLine="142"/>
        <w:rPr>
          <w:i/>
          <w:sz w:val="18"/>
          <w:szCs w:val="20"/>
          <w:lang w:val="fr-CH"/>
        </w:rPr>
      </w:pPr>
      <w:r w:rsidRPr="009E06BB">
        <w:rPr>
          <w:i/>
          <w:sz w:val="18"/>
          <w:lang w:val="fr-CH"/>
        </w:rPr>
        <w:t xml:space="preserve">Pond. 2 = pondération 2 </w:t>
      </w:r>
      <w:r w:rsidRPr="009E06BB">
        <w:rPr>
          <w:i/>
          <w:sz w:val="18"/>
          <w:lang w:val="fr-CH"/>
        </w:rPr>
        <w:tab/>
        <w:t>Pourcentage de chaque sous-critère dans l’évaluation totale (100%)</w:t>
      </w:r>
    </w:p>
    <w:p w14:paraId="2736D889" w14:textId="77777777" w:rsidR="0015728C" w:rsidRPr="009E06BB" w:rsidRDefault="0015728C" w:rsidP="007412C7">
      <w:pPr>
        <w:spacing w:before="120" w:after="120"/>
        <w:rPr>
          <w:color w:val="000000" w:themeColor="text1"/>
          <w:szCs w:val="20"/>
          <w:lang w:val="fr-CH"/>
        </w:rPr>
      </w:pPr>
    </w:p>
    <w:p w14:paraId="23260A4C" w14:textId="583CC3C7" w:rsidR="0015728C" w:rsidRPr="009E06BB" w:rsidRDefault="0015728C">
      <w:pPr>
        <w:spacing w:after="200" w:line="276" w:lineRule="auto"/>
        <w:rPr>
          <w:rFonts w:eastAsia="Times New Roman" w:cs="Arial"/>
          <w:szCs w:val="20"/>
          <w:lang w:val="fr-CH" w:eastAsia="de-CH"/>
        </w:rPr>
      </w:pPr>
    </w:p>
    <w:p w14:paraId="7E1DD5EF" w14:textId="036A615E" w:rsidR="0015728C" w:rsidRPr="009E06BB" w:rsidRDefault="0015728C" w:rsidP="0015728C">
      <w:pPr>
        <w:rPr>
          <w:rFonts w:eastAsia="Times New Roman" w:cs="Arial"/>
          <w:szCs w:val="20"/>
          <w:lang w:val="fr-CH" w:eastAsia="de-CH"/>
        </w:rPr>
      </w:pPr>
      <w:r w:rsidRPr="009E06BB">
        <w:rPr>
          <w:rFonts w:eastAsia="Times New Roman" w:cs="Arial"/>
          <w:lang w:val="fr-CH"/>
        </w:rPr>
        <w:t>La ou les signatures manuscrites ou électroniques simples (SES) de la ou des personnes habilitées à signer pour l’entreprise est exigée/sont exigées.</w:t>
      </w:r>
    </w:p>
    <w:p w14:paraId="3D6BAA02" w14:textId="3356E25D" w:rsidR="007412C7" w:rsidRPr="009E06BB" w:rsidRDefault="007412C7" w:rsidP="007412C7">
      <w:pPr>
        <w:spacing w:before="120" w:after="120"/>
        <w:rPr>
          <w:color w:val="000000" w:themeColor="text1"/>
          <w:szCs w:val="20"/>
          <w:lang w:val="fr-CH"/>
        </w:rPr>
      </w:pPr>
      <w:r w:rsidRPr="009E06BB">
        <w:rPr>
          <w:color w:val="000000" w:themeColor="text1"/>
          <w:lang w:val="fr-CH"/>
        </w:rPr>
        <w:t>Par sa ou ses signatures, le soumissionnaire confirme l’exactitude et l’exhaustivité des informations fournies.</w:t>
      </w:r>
    </w:p>
    <w:tbl>
      <w:tblPr>
        <w:tblW w:w="1478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90"/>
        <w:gridCol w:w="4253"/>
        <w:gridCol w:w="2551"/>
        <w:gridCol w:w="6691"/>
      </w:tblGrid>
      <w:tr w:rsidR="007412C7" w:rsidRPr="009E06BB" w14:paraId="1B5AAD3C" w14:textId="77777777" w:rsidTr="007412C7">
        <w:trPr>
          <w:trHeight w:val="1486"/>
        </w:trPr>
        <w:tc>
          <w:tcPr>
            <w:tcW w:w="1290" w:type="dxa"/>
            <w:vAlign w:val="center"/>
          </w:tcPr>
          <w:p w14:paraId="6665EB43" w14:textId="77777777" w:rsidR="007412C7" w:rsidRPr="009E06BB" w:rsidRDefault="007412C7" w:rsidP="007412C7">
            <w:pPr>
              <w:keepNext/>
              <w:spacing w:before="120" w:after="120"/>
              <w:rPr>
                <w:color w:val="000000" w:themeColor="text1"/>
                <w:szCs w:val="20"/>
                <w:lang w:val="fr-CH"/>
              </w:rPr>
            </w:pPr>
            <w:r w:rsidRPr="009E06BB">
              <w:rPr>
                <w:color w:val="000000" w:themeColor="text1"/>
                <w:lang w:val="fr-CH"/>
              </w:rPr>
              <w:t>Lieu et date:</w:t>
            </w:r>
          </w:p>
        </w:tc>
        <w:tc>
          <w:tcPr>
            <w:tcW w:w="4253" w:type="dxa"/>
            <w:tcBorders>
              <w:bottom w:val="single" w:sz="4" w:space="0" w:color="auto"/>
            </w:tcBorders>
            <w:shd w:val="clear" w:color="auto" w:fill="FFF6C1"/>
            <w:vAlign w:val="center"/>
          </w:tcPr>
          <w:p w14:paraId="6EFF4FB0" w14:textId="7AD0E478" w:rsidR="007412C7" w:rsidRPr="009E06BB" w:rsidRDefault="007412C7" w:rsidP="007412C7">
            <w:pPr>
              <w:rPr>
                <w:color w:val="000000" w:themeColor="text1"/>
                <w:szCs w:val="20"/>
                <w:lang w:val="fr-CH"/>
              </w:rPr>
            </w:pPr>
            <w:r w:rsidRPr="009E06BB">
              <w:rPr>
                <w:color w:val="000000" w:themeColor="text1"/>
                <w:lang w:val="fr-CH"/>
              </w:rPr>
              <w:fldChar w:fldCharType="begin">
                <w:ffData>
                  <w:name w:val="Text6"/>
                  <w:enabled/>
                  <w:calcOnExit w:val="0"/>
                  <w:textInput/>
                </w:ffData>
              </w:fldChar>
            </w:r>
            <w:r w:rsidRPr="009E06BB">
              <w:rPr>
                <w:color w:val="000000" w:themeColor="text1"/>
                <w:lang w:val="fr-CH"/>
              </w:rPr>
              <w:instrText xml:space="preserve"> FORMTEXT </w:instrText>
            </w:r>
            <w:r w:rsidRPr="009E06BB">
              <w:rPr>
                <w:color w:val="000000" w:themeColor="text1"/>
                <w:lang w:val="fr-CH"/>
              </w:rPr>
            </w:r>
            <w:r w:rsidRPr="009E06BB">
              <w:rPr>
                <w:color w:val="000000" w:themeColor="text1"/>
                <w:lang w:val="fr-CH"/>
              </w:rPr>
              <w:fldChar w:fldCharType="separate"/>
            </w:r>
            <w:r w:rsidR="0049691F">
              <w:rPr>
                <w:noProof/>
                <w:color w:val="000000" w:themeColor="text1"/>
                <w:lang w:val="fr-CH"/>
              </w:rPr>
              <w:t> </w:t>
            </w:r>
            <w:r w:rsidR="0049691F">
              <w:rPr>
                <w:noProof/>
                <w:color w:val="000000" w:themeColor="text1"/>
                <w:lang w:val="fr-CH"/>
              </w:rPr>
              <w:t> </w:t>
            </w:r>
            <w:r w:rsidR="0049691F">
              <w:rPr>
                <w:noProof/>
                <w:color w:val="000000" w:themeColor="text1"/>
                <w:lang w:val="fr-CH"/>
              </w:rPr>
              <w:t> </w:t>
            </w:r>
            <w:r w:rsidR="0049691F">
              <w:rPr>
                <w:noProof/>
                <w:color w:val="000000" w:themeColor="text1"/>
                <w:lang w:val="fr-CH"/>
              </w:rPr>
              <w:t> </w:t>
            </w:r>
            <w:r w:rsidR="0049691F">
              <w:rPr>
                <w:noProof/>
                <w:color w:val="000000" w:themeColor="text1"/>
                <w:lang w:val="fr-CH"/>
              </w:rPr>
              <w:t> </w:t>
            </w:r>
            <w:r w:rsidRPr="009E06BB">
              <w:rPr>
                <w:color w:val="000000" w:themeColor="text1"/>
                <w:lang w:val="fr-CH"/>
              </w:rPr>
              <w:fldChar w:fldCharType="end"/>
            </w:r>
          </w:p>
        </w:tc>
        <w:tc>
          <w:tcPr>
            <w:tcW w:w="2551" w:type="dxa"/>
            <w:vAlign w:val="center"/>
          </w:tcPr>
          <w:p w14:paraId="53A117C9" w14:textId="77777777" w:rsidR="007412C7" w:rsidRPr="009E06BB" w:rsidRDefault="007412C7" w:rsidP="007412C7">
            <w:pPr>
              <w:keepNext/>
              <w:spacing w:before="120" w:after="120"/>
              <w:rPr>
                <w:color w:val="000000" w:themeColor="text1"/>
                <w:szCs w:val="20"/>
                <w:lang w:val="fr-CH"/>
              </w:rPr>
            </w:pPr>
            <w:r w:rsidRPr="009E06BB">
              <w:rPr>
                <w:color w:val="000000" w:themeColor="text1"/>
                <w:lang w:val="fr-CH"/>
              </w:rPr>
              <w:t>Signature(s):</w:t>
            </w:r>
          </w:p>
        </w:tc>
        <w:tc>
          <w:tcPr>
            <w:tcW w:w="6691" w:type="dxa"/>
            <w:tcBorders>
              <w:bottom w:val="single" w:sz="4" w:space="0" w:color="auto"/>
            </w:tcBorders>
            <w:shd w:val="clear" w:color="auto" w:fill="FFF6C1"/>
            <w:vAlign w:val="bottom"/>
          </w:tcPr>
          <w:p w14:paraId="661A55CE" w14:textId="7F35FAC9" w:rsidR="007412C7" w:rsidRPr="009E06BB" w:rsidRDefault="007412C7" w:rsidP="007412C7">
            <w:pPr>
              <w:keepNext/>
              <w:tabs>
                <w:tab w:val="left" w:pos="3692"/>
              </w:tabs>
              <w:spacing w:before="120" w:after="120"/>
              <w:rPr>
                <w:sz w:val="16"/>
                <w:szCs w:val="16"/>
                <w:lang w:val="fr-CH"/>
              </w:rPr>
            </w:pPr>
            <w:r w:rsidRPr="009E06BB">
              <w:rPr>
                <w:sz w:val="16"/>
                <w:lang w:val="fr-CH"/>
              </w:rPr>
              <w:fldChar w:fldCharType="begin">
                <w:ffData>
                  <w:name w:val=""/>
                  <w:enabled/>
                  <w:calcOnExit w:val="0"/>
                  <w:textInput>
                    <w:default w:val="Prénom/nom"/>
                  </w:textInput>
                </w:ffData>
              </w:fldChar>
            </w:r>
            <w:r w:rsidRPr="009E06BB">
              <w:rPr>
                <w:sz w:val="16"/>
                <w:lang w:val="fr-CH"/>
              </w:rPr>
              <w:instrText xml:space="preserve"> FORMTEXT </w:instrText>
            </w:r>
            <w:r w:rsidRPr="009E06BB">
              <w:rPr>
                <w:sz w:val="16"/>
                <w:lang w:val="fr-CH"/>
              </w:rPr>
            </w:r>
            <w:r w:rsidRPr="009E06BB">
              <w:rPr>
                <w:sz w:val="16"/>
                <w:lang w:val="fr-CH"/>
              </w:rPr>
              <w:fldChar w:fldCharType="separate"/>
            </w:r>
            <w:r w:rsidR="0049691F">
              <w:rPr>
                <w:noProof/>
                <w:sz w:val="16"/>
                <w:lang w:val="fr-CH"/>
              </w:rPr>
              <w:t>Prénom/nom</w:t>
            </w:r>
            <w:r w:rsidRPr="009E06BB">
              <w:rPr>
                <w:sz w:val="16"/>
                <w:lang w:val="fr-CH"/>
              </w:rPr>
              <w:fldChar w:fldCharType="end"/>
            </w:r>
            <w:r w:rsidRPr="009E06BB">
              <w:rPr>
                <w:sz w:val="16"/>
                <w:lang w:val="fr-CH"/>
              </w:rPr>
              <w:br/>
            </w:r>
            <w:r w:rsidRPr="009E06BB">
              <w:rPr>
                <w:sz w:val="16"/>
                <w:lang w:val="fr-CH"/>
              </w:rPr>
              <w:fldChar w:fldCharType="begin">
                <w:ffData>
                  <w:name w:val=""/>
                  <w:enabled/>
                  <w:calcOnExit w:val="0"/>
                  <w:textInput>
                    <w:default w:val="Fonction"/>
                  </w:textInput>
                </w:ffData>
              </w:fldChar>
            </w:r>
            <w:r w:rsidRPr="009E06BB">
              <w:rPr>
                <w:sz w:val="16"/>
                <w:lang w:val="fr-CH"/>
              </w:rPr>
              <w:instrText xml:space="preserve"> FORMTEXT </w:instrText>
            </w:r>
            <w:r w:rsidRPr="009E06BB">
              <w:rPr>
                <w:sz w:val="16"/>
                <w:lang w:val="fr-CH"/>
              </w:rPr>
            </w:r>
            <w:r w:rsidRPr="009E06BB">
              <w:rPr>
                <w:sz w:val="16"/>
                <w:lang w:val="fr-CH"/>
              </w:rPr>
              <w:fldChar w:fldCharType="separate"/>
            </w:r>
            <w:r w:rsidR="0049691F">
              <w:rPr>
                <w:noProof/>
                <w:sz w:val="16"/>
                <w:lang w:val="fr-CH"/>
              </w:rPr>
              <w:t>Fonction</w:t>
            </w:r>
            <w:r w:rsidRPr="009E06BB">
              <w:rPr>
                <w:sz w:val="16"/>
                <w:lang w:val="fr-CH"/>
              </w:rPr>
              <w:fldChar w:fldCharType="end"/>
            </w:r>
          </w:p>
        </w:tc>
      </w:tr>
    </w:tbl>
    <w:p w14:paraId="00B491C5" w14:textId="77777777" w:rsidR="007412C7" w:rsidRPr="009E06BB" w:rsidRDefault="007412C7" w:rsidP="007412C7">
      <w:pPr>
        <w:spacing w:before="120" w:after="120"/>
        <w:rPr>
          <w:color w:val="000000" w:themeColor="text1"/>
          <w:szCs w:val="20"/>
          <w:lang w:val="fr-CH"/>
        </w:rPr>
      </w:pPr>
    </w:p>
    <w:p w14:paraId="2A48E42C" w14:textId="77777777" w:rsidR="007412C7" w:rsidRPr="009E06BB" w:rsidRDefault="007412C7" w:rsidP="007412C7">
      <w:pPr>
        <w:rPr>
          <w:rFonts w:eastAsia="Times New Roman" w:cs="Times New Roman"/>
          <w:szCs w:val="24"/>
          <w:lang w:val="fr-CH" w:eastAsia="de-CH"/>
        </w:rPr>
      </w:pPr>
    </w:p>
    <w:p w14:paraId="2C888805" w14:textId="59F6CF7D" w:rsidR="004A5A2E" w:rsidRPr="009E06BB" w:rsidRDefault="004A5A2E" w:rsidP="00905BA5">
      <w:pPr>
        <w:rPr>
          <w:lang w:val="fr-CH"/>
        </w:rPr>
      </w:pPr>
    </w:p>
    <w:sectPr w:rsidR="004A5A2E" w:rsidRPr="009E06BB" w:rsidSect="00EB41F5">
      <w:headerReference w:type="default" r:id="rId12"/>
      <w:footerReference w:type="default" r:id="rId13"/>
      <w:headerReference w:type="first" r:id="rId14"/>
      <w:footerReference w:type="first" r:id="rId15"/>
      <w:pgSz w:w="16838" w:h="11906" w:orient="landscape" w:code="9"/>
      <w:pgMar w:top="1389" w:right="822" w:bottom="1134" w:left="1134" w:header="518" w:footer="7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E1235" w14:textId="77777777" w:rsidR="007741C0" w:rsidRDefault="007741C0">
      <w:r>
        <w:separator/>
      </w:r>
    </w:p>
  </w:endnote>
  <w:endnote w:type="continuationSeparator" w:id="0">
    <w:p w14:paraId="121455A0" w14:textId="77777777" w:rsidR="007741C0" w:rsidRDefault="00774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39CF5" w14:textId="35AAB5A2" w:rsidR="0061589F" w:rsidRPr="009E06BB" w:rsidRDefault="00B05645" w:rsidP="00906E5B">
    <w:pPr>
      <w:framePr w:w="14893" w:h="271" w:hSpace="141" w:wrap="around" w:vAnchor="text" w:hAnchor="page" w:x="1135" w:y="354"/>
      <w:spacing w:line="240" w:lineRule="auto"/>
      <w:rPr>
        <w:noProof/>
        <w:color w:val="000000" w:themeColor="text1"/>
        <w:sz w:val="16"/>
        <w:szCs w:val="16"/>
        <w:lang w:val="de-DE"/>
      </w:rPr>
    </w:pPr>
    <w:sdt>
      <w:sdtPr>
        <w:rPr>
          <w:rFonts w:cs="Times New Roman"/>
          <w:noProof/>
          <w:color w:val="000000" w:themeColor="text1"/>
          <w:sz w:val="16"/>
          <w:szCs w:val="16"/>
          <w:lang w:val="de-DE"/>
        </w:rPr>
        <w:id w:val="1625118843"/>
        <w:placeholder>
          <w:docPart w:val="5ADF704AD5CC43B8B13CDFC8FA6D6D68"/>
        </w:placeholder>
        <w:dropDownList>
          <w:listItem w:value="Sélectionnez un élément."/>
          <w:listItem w:displayText="CFF Informatique Achats" w:value="CFF Informatique Achats"/>
          <w:listItem w:displayText="CFF Achats du groupe Biens de consommation" w:value="CFF Achats du groupe Biens de consommation"/>
          <w:listItem w:displayText="CFF Achats du groupe Prestations du groupe" w:value="CFF Achats du groupe Prestations du groupe"/>
        </w:dropDownList>
      </w:sdtPr>
      <w:sdtEndPr/>
      <w:sdtContent>
        <w:r w:rsidR="00241F22" w:rsidRPr="009E06BB">
          <w:rPr>
            <w:rFonts w:cs="Times New Roman"/>
            <w:noProof/>
            <w:color w:val="000000" w:themeColor="text1"/>
            <w:sz w:val="16"/>
            <w:lang w:val="de-DE"/>
          </w:rPr>
          <w:t>CFF Informatique Achats</w:t>
        </w:r>
      </w:sdtContent>
    </w:sdt>
    <w:r w:rsidR="00241F22" w:rsidRPr="009E06BB">
      <w:rPr>
        <w:lang w:val="de-DE"/>
      </w:rPr>
      <w:t xml:space="preserve"> </w:t>
    </w:r>
  </w:p>
  <w:p w14:paraId="1C433D9C" w14:textId="630CB1F0" w:rsidR="0061589F" w:rsidRPr="00667C7F" w:rsidRDefault="0061589F" w:rsidP="00906E5B">
    <w:pPr>
      <w:framePr w:w="14893" w:h="271" w:hSpace="141" w:wrap="around" w:vAnchor="text" w:hAnchor="page" w:x="1135" w:y="354"/>
      <w:spacing w:line="240" w:lineRule="auto"/>
      <w:rPr>
        <w:lang w:val="en-GB"/>
      </w:rPr>
    </w:pPr>
    <w:r>
      <w:rPr>
        <w:noProof/>
        <w:sz w:val="16"/>
      </w:rPr>
      <mc:AlternateContent>
        <mc:Choice Requires="wps">
          <w:drawing>
            <wp:anchor distT="0" distB="0" distL="114300" distR="114300" simplePos="0" relativeHeight="251657216" behindDoc="0" locked="0" layoutInCell="0" allowOverlap="1" wp14:anchorId="2F2E2383" wp14:editId="20E1853B">
              <wp:simplePos x="0" y="0"/>
              <wp:positionH relativeFrom="page">
                <wp:posOffset>0</wp:posOffset>
              </wp:positionH>
              <wp:positionV relativeFrom="page">
                <wp:posOffset>7117715</wp:posOffset>
              </wp:positionV>
              <wp:extent cx="10692130" cy="252095"/>
              <wp:effectExtent l="0" t="0" r="0" b="14605"/>
              <wp:wrapNone/>
              <wp:docPr id="1" name="MSIPCM4dbf4906ace36b664ba184ca" descr="{&quot;HashCode&quot;:1677011544,&quot;Height&quot;:595.0,&quot;Width&quot;:841.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F95AEA0" w14:textId="2643BE3C" w:rsidR="0061589F" w:rsidRPr="00EB41F5" w:rsidRDefault="00362DC0" w:rsidP="00EB41F5">
                          <w:pPr>
                            <w:rPr>
                              <w:rFonts w:cs="Arial"/>
                              <w:color w:val="000000"/>
                              <w:sz w:val="14"/>
                            </w:rPr>
                          </w:pPr>
                          <w:r>
                            <w:rPr>
                              <w:rFonts w:cs="Arial"/>
                              <w:color w:val="000000"/>
                              <w:sz w:val="14"/>
                            </w:rPr>
                            <w:t>C3.1 - Confidential Unencrypted</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F2E2383" id="_x0000_t202" coordsize="21600,21600" o:spt="202" path="m,l,21600r21600,l21600,xe">
              <v:stroke joinstyle="miter"/>
              <v:path gradientshapeok="t" o:connecttype="rect"/>
            </v:shapetype>
            <v:shape id="MSIPCM4dbf4906ace36b664ba184ca" o:spid="_x0000_s1026" type="#_x0000_t202" alt="{&quot;HashCode&quot;:1677011544,&quot;Height&quot;:595.0,&quot;Width&quot;:841.0,&quot;Placement&quot;:&quot;Footer&quot;,&quot;Index&quot;:&quot;Primary&quot;,&quot;Section&quot;:1,&quot;Top&quot;:0.0,&quot;Left&quot;:0.0}" style="position:absolute;margin-left:0;margin-top:560.45pt;width:841.9pt;height:19.8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" o:allowincell="f" filled="f" stroked="f" strokeweight=".5pt">
              <v:textbox inset="20pt,0,,0">
                <w:txbxContent>
                  <w:p w14:paraId="2F95AEA0" w14:textId="2643BE3C" w:rsidR="0061589F" w:rsidRPr="00EB41F5" w:rsidRDefault="00362DC0" w:rsidP="00EB41F5">
                    <w:pPr>
                      <w:rPr>
                        <w:rFonts w:cs="Arial"/>
                        <w:color w:val="000000"/>
                        <w:sz w:val="14"/>
                      </w:rPr>
                    </w:pPr>
                    <w:r>
                      <w:rPr>
                        <w:rFonts w:cs="Arial"/>
                        <w:color w:val="000000"/>
                        <w:sz w:val="14"/>
                      </w:rPr>
                      <w:t>C3.1 - Confidential Unencrypted</w:t>
                    </w:r>
                  </w:p>
                </w:txbxContent>
              </v:textbox>
              <w10:wrap anchorx="page" anchory="page"/>
            </v:shape>
          </w:pict>
        </mc:Fallback>
      </mc:AlternateContent>
    </w:r>
    <w:r>
      <w:rPr>
        <w:sz w:val="16"/>
        <w:szCs w:val="16"/>
      </w:rPr>
      <w:fldChar w:fldCharType="begin"/>
    </w:r>
    <w:r w:rsidRPr="00667C7F">
      <w:rPr>
        <w:sz w:val="16"/>
        <w:szCs w:val="16"/>
        <w:lang w:val="en-GB"/>
      </w:rPr>
      <w:instrText xml:space="preserve"> FILENAME \* MERGEFORMAT </w:instrText>
    </w:r>
    <w:r>
      <w:rPr>
        <w:sz w:val="16"/>
        <w:szCs w:val="16"/>
      </w:rPr>
      <w:fldChar w:fldCharType="separate"/>
    </w:r>
    <w:r w:rsidR="00B05645">
      <w:rPr>
        <w:noProof/>
        <w:sz w:val="16"/>
        <w:szCs w:val="16"/>
        <w:lang w:val="en-GB"/>
      </w:rPr>
      <w:t>KFMS_02_DO_Ann._02_Respect-CAd_V1.0.docx</w:t>
    </w:r>
    <w:r>
      <w:rPr>
        <w:sz w:val="16"/>
        <w:szCs w:val="16"/>
      </w:rPr>
      <w:fldChar w:fldCharType="end"/>
    </w:r>
  </w:p>
  <w:p w14:paraId="5A9F48D6" w14:textId="4273DFBE" w:rsidR="0061589F" w:rsidRDefault="0061589F" w:rsidP="0048489F">
    <w:pPr>
      <w:tabs>
        <w:tab w:val="center" w:pos="7371"/>
        <w:tab w:val="right" w:pos="14882"/>
      </w:tabs>
      <w:rPr>
        <w:sz w:val="16"/>
        <w:szCs w:val="16"/>
      </w:rPr>
    </w:pPr>
    <w:r w:rsidRPr="00667C7F">
      <w:rPr>
        <w:sz w:val="16"/>
        <w:lang w:val="en-GB"/>
      </w:rPr>
      <w:tab/>
    </w:r>
    <w:r w:rsidRPr="00667C7F">
      <w:rPr>
        <w:sz w:val="16"/>
        <w:lang w:val="en-GB"/>
      </w:rPr>
      <w:tab/>
    </w:r>
    <w:r w:rsidRPr="00EB41F5">
      <w:rPr>
        <w:sz w:val="16"/>
        <w:szCs w:val="16"/>
      </w:rPr>
      <w:fldChar w:fldCharType="begin"/>
    </w:r>
    <w:r w:rsidRPr="00EB41F5">
      <w:rPr>
        <w:sz w:val="16"/>
        <w:szCs w:val="16"/>
      </w:rPr>
      <w:instrText xml:space="preserve"> PAGE   \* MERGEFORMAT </w:instrText>
    </w:r>
    <w:r w:rsidRPr="00EB41F5">
      <w:rPr>
        <w:sz w:val="16"/>
        <w:szCs w:val="16"/>
      </w:rPr>
      <w:fldChar w:fldCharType="separate"/>
    </w:r>
    <w:r w:rsidRPr="00EB41F5">
      <w:rPr>
        <w:noProof/>
        <w:sz w:val="16"/>
        <w:szCs w:val="16"/>
      </w:rPr>
      <w:t>1</w:t>
    </w:r>
    <w:r w:rsidRPr="00EB41F5">
      <w:rPr>
        <w:sz w:val="16"/>
        <w:szCs w:val="16"/>
      </w:rPr>
      <w:fldChar w:fldCharType="end"/>
    </w:r>
    <w:r>
      <w:rPr>
        <w:sz w:val="16"/>
      </w:rPr>
      <w:t>/</w:t>
    </w:r>
    <w:r w:rsidRPr="00EB41F5">
      <w:rPr>
        <w:sz w:val="16"/>
        <w:szCs w:val="16"/>
      </w:rPr>
      <w:fldChar w:fldCharType="begin"/>
    </w:r>
    <w:r w:rsidRPr="00EB41F5">
      <w:rPr>
        <w:sz w:val="16"/>
        <w:szCs w:val="16"/>
      </w:rPr>
      <w:instrText xml:space="preserve"> NUMPAGES   \* MERGEFORMAT </w:instrText>
    </w:r>
    <w:r w:rsidRPr="00EB41F5">
      <w:rPr>
        <w:sz w:val="16"/>
        <w:szCs w:val="16"/>
      </w:rPr>
      <w:fldChar w:fldCharType="separate"/>
    </w:r>
    <w:r w:rsidRPr="00EB41F5">
      <w:rPr>
        <w:noProof/>
        <w:sz w:val="16"/>
        <w:szCs w:val="16"/>
      </w:rPr>
      <w:t>1</w:t>
    </w:r>
    <w:r w:rsidRPr="00EB41F5">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2C248" w14:textId="77777777" w:rsidR="0061589F" w:rsidRPr="00974FEF" w:rsidRDefault="0061589F" w:rsidP="00974FEF">
    <w:pPr>
      <w:tabs>
        <w:tab w:val="center" w:pos="7371"/>
        <w:tab w:val="right" w:pos="14882"/>
      </w:tabs>
      <w:jc w:val="right"/>
      <w:rPr>
        <w:sz w:val="16"/>
        <w:szCs w:val="16"/>
      </w:rPr>
    </w:pPr>
    <w:r>
      <w:rPr>
        <w:noProof/>
        <w:sz w:val="16"/>
      </w:rPr>
      <mc:AlternateContent>
        <mc:Choice Requires="wps">
          <w:drawing>
            <wp:anchor distT="0" distB="0" distL="114300" distR="114300" simplePos="0" relativeHeight="251659264" behindDoc="0" locked="0" layoutInCell="0" allowOverlap="1" wp14:anchorId="12E5D861" wp14:editId="0579753F">
              <wp:simplePos x="0" y="0"/>
              <wp:positionH relativeFrom="page">
                <wp:posOffset>0</wp:posOffset>
              </wp:positionH>
              <wp:positionV relativeFrom="page">
                <wp:posOffset>7117715</wp:posOffset>
              </wp:positionV>
              <wp:extent cx="10692130" cy="252095"/>
              <wp:effectExtent l="0" t="0" r="0" b="14605"/>
              <wp:wrapNone/>
              <wp:docPr id="2" name="MSIPCM68bf48afb105ee99d0dfdc5d" descr="{&quot;HashCode&quot;:1677011544,&quot;Height&quot;:595.0,&quot;Width&quot;:841.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1069213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D8A09CB" w14:textId="081715F0" w:rsidR="0061589F" w:rsidRPr="00EB41F5" w:rsidRDefault="00362DC0" w:rsidP="00EB41F5">
                          <w:pPr>
                            <w:rPr>
                              <w:rFonts w:cs="Arial"/>
                              <w:color w:val="000000"/>
                              <w:sz w:val="14"/>
                            </w:rPr>
                          </w:pPr>
                          <w:r>
                            <w:rPr>
                              <w:rFonts w:cs="Arial"/>
                              <w:color w:val="000000"/>
                              <w:sz w:val="14"/>
                            </w:rPr>
                            <w:t>C3.1 - Confidential Unencrypted</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2E5D861" id="_x0000_t202" coordsize="21600,21600" o:spt="202" path="m,l,21600r21600,l21600,xe">
              <v:stroke joinstyle="miter"/>
              <v:path gradientshapeok="t" o:connecttype="rect"/>
            </v:shapetype>
            <v:shape id="MSIPCM68bf48afb105ee99d0dfdc5d" o:spid="_x0000_s1027" type="#_x0000_t202" alt="{&quot;HashCode&quot;:1677011544,&quot;Height&quot;:595.0,&quot;Width&quot;:841.0,&quot;Placement&quot;:&quot;Footer&quot;,&quot;Index&quot;:&quot;FirstPage&quot;,&quot;Section&quot;:1,&quot;Top&quot;:0.0,&quot;Left&quot;:0.0}" style="position:absolute;left:0;text-align:left;margin-left:0;margin-top:560.45pt;width:841.9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" o:allowincell="f" filled="f" stroked="f" strokeweight=".5pt">
              <v:textbox inset="20pt,0,,0">
                <w:txbxContent>
                  <w:p w14:paraId="1D8A09CB" w14:textId="081715F0" w:rsidR="0061589F" w:rsidRPr="00EB41F5" w:rsidRDefault="00362DC0" w:rsidP="00EB41F5">
                    <w:pPr>
                      <w:rPr>
                        <w:rFonts w:cs="Arial"/>
                        <w:color w:val="000000"/>
                        <w:sz w:val="14"/>
                      </w:rPr>
                    </w:pPr>
                    <w:r>
                      <w:rPr>
                        <w:rFonts w:cs="Arial"/>
                        <w:color w:val="000000"/>
                        <w:sz w:val="14"/>
                      </w:rPr>
                      <w:t>C3.1 - Confidential Unencrypted</w:t>
                    </w:r>
                  </w:p>
                </w:txbxContent>
              </v:textbox>
              <w10:wrap anchorx="page" anchory="page"/>
            </v:shape>
          </w:pict>
        </mc:Fallback>
      </mc:AlternateContent>
    </w:r>
    <w:r w:rsidRPr="00974FEF">
      <w:rPr>
        <w:sz w:val="16"/>
        <w:szCs w:val="16"/>
      </w:rPr>
      <w:fldChar w:fldCharType="begin"/>
    </w:r>
    <w:r w:rsidRPr="00974FEF">
      <w:rPr>
        <w:sz w:val="16"/>
        <w:szCs w:val="16"/>
      </w:rPr>
      <w:instrText xml:space="preserve"> PAGE   \* MERGEFORMAT </w:instrText>
    </w:r>
    <w:r w:rsidRPr="00974FEF">
      <w:rPr>
        <w:sz w:val="16"/>
        <w:szCs w:val="16"/>
      </w:rPr>
      <w:fldChar w:fldCharType="separate"/>
    </w:r>
    <w:r>
      <w:rPr>
        <w:noProof/>
        <w:sz w:val="16"/>
        <w:szCs w:val="16"/>
      </w:rPr>
      <w:t>1</w:t>
    </w:r>
    <w:r w:rsidRPr="00974FEF">
      <w:rPr>
        <w:sz w:val="16"/>
        <w:szCs w:val="16"/>
      </w:rPr>
      <w:fldChar w:fldCharType="end"/>
    </w:r>
    <w:r>
      <w:rPr>
        <w:sz w:val="16"/>
      </w:rPr>
      <w:t>/</w:t>
    </w:r>
    <w:r w:rsidRPr="00974FEF">
      <w:rPr>
        <w:sz w:val="16"/>
        <w:szCs w:val="16"/>
      </w:rPr>
      <w:fldChar w:fldCharType="begin"/>
    </w:r>
    <w:r w:rsidRPr="00974FEF">
      <w:rPr>
        <w:sz w:val="16"/>
        <w:szCs w:val="16"/>
      </w:rPr>
      <w:instrText xml:space="preserve"> NUMPAGES   \* MERGEFORMAT </w:instrText>
    </w:r>
    <w:r w:rsidRPr="00974FEF">
      <w:rPr>
        <w:sz w:val="16"/>
        <w:szCs w:val="16"/>
      </w:rPr>
      <w:fldChar w:fldCharType="separate"/>
    </w:r>
    <w:r>
      <w:rPr>
        <w:noProof/>
        <w:sz w:val="16"/>
        <w:szCs w:val="16"/>
      </w:rPr>
      <w:t>1</w:t>
    </w:r>
    <w:r w:rsidRPr="00974FEF">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B88B2" w14:textId="77777777" w:rsidR="007741C0" w:rsidRDefault="007741C0">
      <w:r>
        <w:separator/>
      </w:r>
    </w:p>
  </w:footnote>
  <w:footnote w:type="continuationSeparator" w:id="0">
    <w:p w14:paraId="283BD8A8" w14:textId="77777777" w:rsidR="007741C0" w:rsidRDefault="007741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758" w:type="dxa"/>
      <w:tblLayout w:type="fixed"/>
      <w:tblCellMar>
        <w:left w:w="0" w:type="dxa"/>
        <w:right w:w="0" w:type="dxa"/>
      </w:tblCellMar>
      <w:tblLook w:val="01E0" w:firstRow="1" w:lastRow="1" w:firstColumn="1" w:lastColumn="1" w:noHBand="0" w:noVBand="0"/>
    </w:tblPr>
    <w:tblGrid>
      <w:gridCol w:w="4111"/>
      <w:gridCol w:w="8647"/>
    </w:tblGrid>
    <w:tr w:rsidR="0061589F" w:rsidRPr="003676CE" w14:paraId="6EFB34D6" w14:textId="77777777" w:rsidTr="001B270A">
      <w:trPr>
        <w:cantSplit/>
        <w:trHeight w:hRule="exact" w:val="142"/>
      </w:trPr>
      <w:tc>
        <w:tcPr>
          <w:tcW w:w="4111" w:type="dxa"/>
        </w:tcPr>
        <w:p w14:paraId="01B3EBE4" w14:textId="77777777" w:rsidR="0061589F" w:rsidRPr="003676CE" w:rsidRDefault="0061589F"/>
      </w:tc>
      <w:tc>
        <w:tcPr>
          <w:tcW w:w="8647" w:type="dxa"/>
          <w:vMerge w:val="restart"/>
        </w:tcPr>
        <w:p w14:paraId="6E6D379B" w14:textId="77777777" w:rsidR="0061589F" w:rsidRPr="003676CE" w:rsidRDefault="0061589F">
          <w:bookmarkStart w:id="0" w:name="BkmCargoInt2"/>
          <w:r>
            <w:rPr>
              <w:noProof/>
            </w:rPr>
            <w:drawing>
              <wp:inline distT="0" distB="0" distL="0" distR="0" wp14:anchorId="53720B45" wp14:editId="592725B7">
                <wp:extent cx="1661160" cy="224790"/>
                <wp:effectExtent l="0" t="0" r="0" b="3810"/>
                <wp:docPr id="19" name="Bild 4" descr="SBB_POS_2F_CMYK_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BB_POS_2F_CMYK_30"/>
                        <pic:cNvPicPr>
                          <a:picLocks noChangeAspect="1" noChangeArrowheads="1"/>
                        </pic:cNvPicPr>
                      </pic:nvPicPr>
                      <pic:blipFill>
                        <a:blip r:embed="rId1">
                          <a:extLst>
                            <a:ext uri="{BEBA8EAE-BF5A-486C-A8C5-ECC9F3942E4B}">
                              <a14:imgProps xmlns:a14="http://schemas.microsoft.com/office/drawing/2010/main">
                                <a14:imgLayer r:embed="rId2">
                                  <a14:imgEffect>
                                    <a14:brightnessContrast bright="100000"/>
                                  </a14:imgEffect>
                                </a14:imgLayer>
                              </a14:imgProps>
                            </a:ext>
                            <a:ext uri="{28A0092B-C50C-407E-A947-70E740481C1C}">
                              <a14:useLocalDpi xmlns:a14="http://schemas.microsoft.com/office/drawing/2010/main" val="0"/>
                            </a:ext>
                          </a:extLst>
                        </a:blip>
                        <a:srcRect/>
                        <a:stretch>
                          <a:fillRect/>
                        </a:stretch>
                      </pic:blipFill>
                      <pic:spPr bwMode="auto">
                        <a:xfrm>
                          <a:off x="0" y="0"/>
                          <a:ext cx="1661160" cy="224790"/>
                        </a:xfrm>
                        <a:prstGeom prst="rect">
                          <a:avLst/>
                        </a:prstGeom>
                        <a:noFill/>
                        <a:ln>
                          <a:noFill/>
                        </a:ln>
                      </pic:spPr>
                    </pic:pic>
                  </a:graphicData>
                </a:graphic>
              </wp:inline>
            </w:drawing>
          </w:r>
          <w:bookmarkStart w:id="1" w:name="BkmCargo2"/>
          <w:bookmarkEnd w:id="0"/>
          <w:r>
            <w:rPr>
              <w:noProof/>
            </w:rPr>
            <w:drawing>
              <wp:inline distT="0" distB="0" distL="0" distR="0" wp14:anchorId="4DDEBA8A" wp14:editId="74A730E6">
                <wp:extent cx="2714625" cy="229870"/>
                <wp:effectExtent l="0" t="0" r="9525" b="0"/>
                <wp:docPr id="20" name="Bild 5" descr="CARGO_POS_2F_CMYK_100 Kopi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ARGO_POS_2F_CMYK_100 Kopie2"/>
                        <pic:cNvPicPr>
                          <a:picLocks noChangeAspect="1" noChangeArrowheads="1"/>
                        </pic:cNvPicPr>
                      </pic:nvPicPr>
                      <pic:blipFill>
                        <a:blip r:embed="rId3">
                          <a:extLst>
                            <a:ext uri="{BEBA8EAE-BF5A-486C-A8C5-ECC9F3942E4B}">
                              <a14:imgProps xmlns:a14="http://schemas.microsoft.com/office/drawing/2010/main">
                                <a14:imgLayer r:embed="rId4">
                                  <a14:imgEffect>
                                    <a14:brightnessContrast bright="100000"/>
                                  </a14:imgEffect>
                                </a14:imgLayer>
                              </a14:imgProps>
                            </a:ext>
                            <a:ext uri="{28A0092B-C50C-407E-A947-70E740481C1C}">
                              <a14:useLocalDpi xmlns:a14="http://schemas.microsoft.com/office/drawing/2010/main" val="0"/>
                            </a:ext>
                          </a:extLst>
                        </a:blip>
                        <a:srcRect/>
                        <a:stretch>
                          <a:fillRect/>
                        </a:stretch>
                      </pic:blipFill>
                      <pic:spPr bwMode="auto">
                        <a:xfrm>
                          <a:off x="0" y="0"/>
                          <a:ext cx="2714625" cy="229870"/>
                        </a:xfrm>
                        <a:prstGeom prst="rect">
                          <a:avLst/>
                        </a:prstGeom>
                        <a:noFill/>
                        <a:ln>
                          <a:noFill/>
                        </a:ln>
                      </pic:spPr>
                    </pic:pic>
                  </a:graphicData>
                </a:graphic>
              </wp:inline>
            </w:drawing>
          </w:r>
          <w:bookmarkStart w:id="2" w:name="BkmSBB2"/>
          <w:bookmarkEnd w:id="1"/>
          <w:r>
            <w:rPr>
              <w:noProof/>
            </w:rPr>
            <w:drawing>
              <wp:inline distT="0" distB="0" distL="0" distR="0" wp14:anchorId="4D0BCF8E" wp14:editId="592658EB">
                <wp:extent cx="2063115" cy="229870"/>
                <wp:effectExtent l="0" t="0" r="0" b="0"/>
                <wp:docPr id="21" name="Bild 6" descr="SBB_POS_2F_CMYK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BB_POS_2F_CMYK_100"/>
                        <pic:cNvPicPr>
                          <a:picLocks noChangeAspect="1" noChangeArrowheads="1"/>
                        </pic:cNvPicPr>
                      </pic:nvPicPr>
                      <pic:blipFill>
                        <a:blip r:embed="rId5">
                          <a:extLst>
                            <a:ext uri="{BEBA8EAE-BF5A-486C-A8C5-ECC9F3942E4B}">
                              <a14:imgProps xmlns:a14="http://schemas.microsoft.com/office/drawing/2010/main">
                                <a14:imgLayer r:embed="rId6">
                                  <a14:imgEffect>
                                    <a14:brightnessContrast bright="100000"/>
                                  </a14:imgEffect>
                                </a14:imgLayer>
                              </a14:imgProps>
                            </a:ext>
                            <a:ext uri="{28A0092B-C50C-407E-A947-70E740481C1C}">
                              <a14:useLocalDpi xmlns:a14="http://schemas.microsoft.com/office/drawing/2010/main" val="0"/>
                            </a:ext>
                          </a:extLst>
                        </a:blip>
                        <a:srcRect/>
                        <a:stretch>
                          <a:fillRect/>
                        </a:stretch>
                      </pic:blipFill>
                      <pic:spPr bwMode="auto">
                        <a:xfrm>
                          <a:off x="0" y="0"/>
                          <a:ext cx="2063115" cy="229870"/>
                        </a:xfrm>
                        <a:prstGeom prst="rect">
                          <a:avLst/>
                        </a:prstGeom>
                        <a:noFill/>
                        <a:ln>
                          <a:noFill/>
                        </a:ln>
                      </pic:spPr>
                    </pic:pic>
                  </a:graphicData>
                </a:graphic>
              </wp:inline>
            </w:drawing>
          </w:r>
          <w:bookmarkEnd w:id="2"/>
        </w:p>
      </w:tc>
    </w:tr>
    <w:tr w:rsidR="0061589F" w:rsidRPr="003676CE" w14:paraId="10E81388" w14:textId="77777777" w:rsidTr="001B270A">
      <w:trPr>
        <w:cantSplit/>
        <w:trHeight w:hRule="exact" w:val="397"/>
      </w:trPr>
      <w:tc>
        <w:tcPr>
          <w:tcW w:w="4111" w:type="dxa"/>
        </w:tcPr>
        <w:p w14:paraId="3626EC81" w14:textId="77777777" w:rsidR="0061589F" w:rsidRPr="003676CE" w:rsidRDefault="0061589F"/>
      </w:tc>
      <w:tc>
        <w:tcPr>
          <w:tcW w:w="8647" w:type="dxa"/>
          <w:vMerge/>
        </w:tcPr>
        <w:p w14:paraId="0E4BE6F6" w14:textId="77777777" w:rsidR="0061589F" w:rsidRPr="003676CE" w:rsidRDefault="0061589F">
          <w:pPr>
            <w:rPr>
              <w:vanish/>
            </w:rPr>
          </w:pPr>
        </w:p>
      </w:tc>
    </w:tr>
    <w:tr w:rsidR="0061589F" w:rsidRPr="00A01AE9" w14:paraId="2A79C6FB" w14:textId="77777777" w:rsidTr="001B270A">
      <w:tblPrEx>
        <w:tblLook w:val="0000" w:firstRow="0" w:lastRow="0" w:firstColumn="0" w:lastColumn="0" w:noHBand="0" w:noVBand="0"/>
      </w:tblPrEx>
      <w:trPr>
        <w:trHeight w:hRule="exact" w:val="851"/>
      </w:trPr>
      <w:tc>
        <w:tcPr>
          <w:tcW w:w="12758" w:type="dxa"/>
          <w:gridSpan w:val="2"/>
          <w:vAlign w:val="bottom"/>
        </w:tcPr>
        <w:p w14:paraId="324209AC" w14:textId="77777777" w:rsidR="0061589F" w:rsidRPr="00A01AE9" w:rsidRDefault="0061589F">
          <w:pPr>
            <w:rPr>
              <w:sz w:val="18"/>
            </w:rPr>
          </w:pPr>
        </w:p>
      </w:tc>
    </w:tr>
  </w:tbl>
  <w:p w14:paraId="1CD34734" w14:textId="77777777" w:rsidR="0061589F" w:rsidRPr="003676CE" w:rsidRDefault="0061589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324A8" w14:textId="77777777" w:rsidR="0061589F" w:rsidRPr="00FB162F" w:rsidRDefault="0061589F" w:rsidP="00974FEF">
    <w:pPr>
      <w:pStyle w:val="Kopfzeile"/>
      <w:framePr w:wrap="auto" w:vAnchor="margin" w:yAlign="inline"/>
    </w:pPr>
    <w:bookmarkStart w:id="3" w:name="BkmSBB1"/>
    <w:bookmarkStart w:id="4" w:name="BkmLogo"/>
    <w:r>
      <w:rPr>
        <w:noProof/>
      </w:rPr>
      <w:drawing>
        <wp:anchor distT="0" distB="0" distL="114300" distR="114300" simplePos="0" relativeHeight="251656192" behindDoc="1" locked="0" layoutInCell="1" allowOverlap="1" wp14:anchorId="7D9BD5E4" wp14:editId="5E6990D3">
          <wp:simplePos x="0" y="0"/>
          <wp:positionH relativeFrom="column">
            <wp:posOffset>7442200</wp:posOffset>
          </wp:positionH>
          <wp:positionV relativeFrom="paragraph">
            <wp:posOffset>4445</wp:posOffset>
          </wp:positionV>
          <wp:extent cx="2062800" cy="219600"/>
          <wp:effectExtent l="0" t="0" r="0" b="9525"/>
          <wp:wrapTight wrapText="bothSides">
            <wp:wrapPolygon edited="0">
              <wp:start x="0" y="0"/>
              <wp:lineTo x="0" y="20661"/>
              <wp:lineTo x="7182" y="20661"/>
              <wp:lineTo x="21347" y="20661"/>
              <wp:lineTo x="21347" y="0"/>
              <wp:lineTo x="7182" y="0"/>
              <wp:lineTo x="0" y="0"/>
            </wp:wrapPolygon>
          </wp:wrapTight>
          <wp:docPr id="22"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BB_POS_2F_CMYK_100"/>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062800" cy="2196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3"/>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954CCB0"/>
    <w:lvl w:ilvl="0">
      <w:start w:val="1"/>
      <w:numFmt w:val="bullet"/>
      <w:pStyle w:val="Aufzhlungszeichen5"/>
      <w:lvlText w:val="è"/>
      <w:lvlJc w:val="left"/>
      <w:pPr>
        <w:ind w:left="1492" w:hanging="360"/>
      </w:pPr>
      <w:rPr>
        <w:rFonts w:ascii="Wingdings" w:hAnsi="Wingdings" w:hint="default"/>
      </w:rPr>
    </w:lvl>
  </w:abstractNum>
  <w:abstractNum w:abstractNumId="1" w15:restartNumberingAfterBreak="0">
    <w:nsid w:val="FFFFFF81"/>
    <w:multiLevelType w:val="singleLevel"/>
    <w:tmpl w:val="0CD0D28A"/>
    <w:lvl w:ilvl="0">
      <w:start w:val="1"/>
      <w:numFmt w:val="bullet"/>
      <w:pStyle w:val="Aufzhlungszeichen4"/>
      <w:lvlText w:val="è"/>
      <w:lvlJc w:val="left"/>
      <w:pPr>
        <w:ind w:left="1209" w:hanging="360"/>
      </w:pPr>
      <w:rPr>
        <w:rFonts w:ascii="Wingdings" w:hAnsi="Wingdings" w:hint="default"/>
      </w:rPr>
    </w:lvl>
  </w:abstractNum>
  <w:abstractNum w:abstractNumId="2" w15:restartNumberingAfterBreak="0">
    <w:nsid w:val="FFFFFF82"/>
    <w:multiLevelType w:val="singleLevel"/>
    <w:tmpl w:val="3F32C0C8"/>
    <w:lvl w:ilvl="0">
      <w:start w:val="1"/>
      <w:numFmt w:val="bullet"/>
      <w:pStyle w:val="Aufzhlungszeichen3"/>
      <w:lvlText w:val="è"/>
      <w:lvlJc w:val="left"/>
      <w:pPr>
        <w:ind w:left="926" w:hanging="360"/>
      </w:pPr>
      <w:rPr>
        <w:rFonts w:ascii="Wingdings" w:hAnsi="Wingdings" w:hint="default"/>
      </w:rPr>
    </w:lvl>
  </w:abstractNum>
  <w:abstractNum w:abstractNumId="3" w15:restartNumberingAfterBreak="0">
    <w:nsid w:val="FFFFFF83"/>
    <w:multiLevelType w:val="singleLevel"/>
    <w:tmpl w:val="378C4514"/>
    <w:lvl w:ilvl="0">
      <w:start w:val="1"/>
      <w:numFmt w:val="bullet"/>
      <w:pStyle w:val="Aufzhlungszeichen2"/>
      <w:lvlText w:val="è"/>
      <w:lvlJc w:val="left"/>
      <w:pPr>
        <w:ind w:left="643" w:hanging="360"/>
      </w:pPr>
      <w:rPr>
        <w:rFonts w:ascii="Wingdings" w:hAnsi="Wingdings" w:hint="default"/>
      </w:rPr>
    </w:lvl>
  </w:abstractNum>
  <w:abstractNum w:abstractNumId="4" w15:restartNumberingAfterBreak="0">
    <w:nsid w:val="FFFFFF89"/>
    <w:multiLevelType w:val="singleLevel"/>
    <w:tmpl w:val="6AD252E6"/>
    <w:lvl w:ilvl="0">
      <w:start w:val="1"/>
      <w:numFmt w:val="bullet"/>
      <w:pStyle w:val="Aufzhlungszeichen"/>
      <w:lvlText w:val="è"/>
      <w:lvlJc w:val="left"/>
      <w:pPr>
        <w:ind w:left="360" w:hanging="360"/>
      </w:pPr>
      <w:rPr>
        <w:rFonts w:ascii="Wingdings" w:hAnsi="Wingdings" w:hint="default"/>
      </w:rPr>
    </w:lvl>
  </w:abstractNum>
  <w:abstractNum w:abstractNumId="5" w15:restartNumberingAfterBreak="0">
    <w:nsid w:val="120F7FAE"/>
    <w:multiLevelType w:val="hybridMultilevel"/>
    <w:tmpl w:val="7702F0B0"/>
    <w:lvl w:ilvl="0" w:tplc="278CA4D8">
      <w:start w:val="2"/>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E54413A"/>
    <w:multiLevelType w:val="multilevel"/>
    <w:tmpl w:val="3306F49E"/>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94" w:hanging="794"/>
      </w:pPr>
      <w:rPr>
        <w:rFonts w:hint="default"/>
      </w:rPr>
    </w:lvl>
    <w:lvl w:ilvl="2">
      <w:start w:val="1"/>
      <w:numFmt w:val="decimal"/>
      <w:pStyle w:val="berschrift3"/>
      <w:lvlText w:val="%1.%2.%3."/>
      <w:lvlJc w:val="left"/>
      <w:pPr>
        <w:ind w:left="1224" w:hanging="1224"/>
      </w:pPr>
      <w:rPr>
        <w:rFonts w:hint="default"/>
      </w:rPr>
    </w:lvl>
    <w:lvl w:ilvl="3">
      <w:start w:val="1"/>
      <w:numFmt w:val="decimal"/>
      <w:pStyle w:val="berschrift4"/>
      <w:lvlText w:val="%1.%2.%3.%4."/>
      <w:lvlJc w:val="left"/>
      <w:pPr>
        <w:ind w:left="1728" w:hanging="1728"/>
      </w:pPr>
      <w:rPr>
        <w:rFonts w:hint="default"/>
      </w:rPr>
    </w:lvl>
    <w:lvl w:ilvl="4">
      <w:start w:val="1"/>
      <w:numFmt w:val="decimal"/>
      <w:pStyle w:val="berschrift5"/>
      <w:lvlText w:val="%1.%2.%3.%4.%5."/>
      <w:lvlJc w:val="left"/>
      <w:pPr>
        <w:ind w:left="2232" w:hanging="2232"/>
      </w:pPr>
      <w:rPr>
        <w:rFonts w:hint="default"/>
      </w:rPr>
    </w:lvl>
    <w:lvl w:ilvl="5">
      <w:start w:val="1"/>
      <w:numFmt w:val="decimal"/>
      <w:pStyle w:val="berschrift6"/>
      <w:lvlText w:val="%1.%2.%3.%4.%5.%6."/>
      <w:lvlJc w:val="left"/>
      <w:pPr>
        <w:ind w:left="2736" w:hanging="2736"/>
      </w:pPr>
      <w:rPr>
        <w:rFonts w:hint="default"/>
      </w:rPr>
    </w:lvl>
    <w:lvl w:ilvl="6">
      <w:start w:val="1"/>
      <w:numFmt w:val="decimal"/>
      <w:pStyle w:val="berschrift7"/>
      <w:lvlText w:val="%1.%2.%3.%4.%5.%6.%7."/>
      <w:lvlJc w:val="left"/>
      <w:pPr>
        <w:ind w:left="3240" w:hanging="3240"/>
      </w:pPr>
      <w:rPr>
        <w:rFonts w:hint="default"/>
      </w:rPr>
    </w:lvl>
    <w:lvl w:ilvl="7">
      <w:start w:val="1"/>
      <w:numFmt w:val="decimal"/>
      <w:pStyle w:val="berschrift8"/>
      <w:lvlText w:val="%1.%2.%3.%4.%5.%6.%7.%8."/>
      <w:lvlJc w:val="left"/>
      <w:pPr>
        <w:ind w:left="3744" w:hanging="3744"/>
      </w:pPr>
      <w:rPr>
        <w:rFonts w:hint="default"/>
      </w:rPr>
    </w:lvl>
    <w:lvl w:ilvl="8">
      <w:start w:val="1"/>
      <w:numFmt w:val="decimal"/>
      <w:pStyle w:val="berschrift9"/>
      <w:lvlText w:val="%1.%2.%3.%4.%5.%6.%7.%8.%9."/>
      <w:lvlJc w:val="left"/>
      <w:pPr>
        <w:ind w:left="4320" w:hanging="4320"/>
      </w:pPr>
      <w:rPr>
        <w:rFonts w:hint="default"/>
      </w:rPr>
    </w:lvl>
  </w:abstractNum>
  <w:abstractNum w:abstractNumId="7" w15:restartNumberingAfterBreak="0">
    <w:nsid w:val="339F0689"/>
    <w:multiLevelType w:val="hybridMultilevel"/>
    <w:tmpl w:val="BCE2CAC2"/>
    <w:lvl w:ilvl="0" w:tplc="FD94A3FC">
      <w:start w:val="1"/>
      <w:numFmt w:val="bullet"/>
      <w:pStyle w:val="Listenabsatz"/>
      <w:lvlText w:val="è"/>
      <w:lvlJc w:val="left"/>
      <w:pPr>
        <w:ind w:left="1440" w:hanging="360"/>
      </w:pPr>
      <w:rPr>
        <w:rFonts w:ascii="Wingdings" w:hAnsi="Wingdings"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8" w15:restartNumberingAfterBreak="0">
    <w:nsid w:val="33E46B58"/>
    <w:multiLevelType w:val="hybridMultilevel"/>
    <w:tmpl w:val="C3AAE6E2"/>
    <w:lvl w:ilvl="0" w:tplc="14DC9E24">
      <w:start w:val="1"/>
      <w:numFmt w:val="bullet"/>
      <w:lvlText w:val=""/>
      <w:lvlJc w:val="left"/>
      <w:pPr>
        <w:tabs>
          <w:tab w:val="num" w:pos="720"/>
        </w:tabs>
        <w:ind w:left="720" w:hanging="360"/>
      </w:pPr>
      <w:rPr>
        <w:rFonts w:ascii="Wingdings 3" w:hAnsi="Wingdings 3" w:hint="default"/>
      </w:rPr>
    </w:lvl>
    <w:lvl w:ilvl="1" w:tplc="63FE9900" w:tentative="1">
      <w:start w:val="1"/>
      <w:numFmt w:val="bullet"/>
      <w:lvlText w:val=""/>
      <w:lvlJc w:val="left"/>
      <w:pPr>
        <w:tabs>
          <w:tab w:val="num" w:pos="1440"/>
        </w:tabs>
        <w:ind w:left="1440" w:hanging="360"/>
      </w:pPr>
      <w:rPr>
        <w:rFonts w:ascii="Wingdings 3" w:hAnsi="Wingdings 3" w:hint="default"/>
      </w:rPr>
    </w:lvl>
    <w:lvl w:ilvl="2" w:tplc="2DE66034" w:tentative="1">
      <w:start w:val="1"/>
      <w:numFmt w:val="bullet"/>
      <w:lvlText w:val=""/>
      <w:lvlJc w:val="left"/>
      <w:pPr>
        <w:tabs>
          <w:tab w:val="num" w:pos="2160"/>
        </w:tabs>
        <w:ind w:left="2160" w:hanging="360"/>
      </w:pPr>
      <w:rPr>
        <w:rFonts w:ascii="Wingdings 3" w:hAnsi="Wingdings 3" w:hint="default"/>
      </w:rPr>
    </w:lvl>
    <w:lvl w:ilvl="3" w:tplc="0A2A3C8C" w:tentative="1">
      <w:start w:val="1"/>
      <w:numFmt w:val="bullet"/>
      <w:lvlText w:val=""/>
      <w:lvlJc w:val="left"/>
      <w:pPr>
        <w:tabs>
          <w:tab w:val="num" w:pos="2880"/>
        </w:tabs>
        <w:ind w:left="2880" w:hanging="360"/>
      </w:pPr>
      <w:rPr>
        <w:rFonts w:ascii="Wingdings 3" w:hAnsi="Wingdings 3" w:hint="default"/>
      </w:rPr>
    </w:lvl>
    <w:lvl w:ilvl="4" w:tplc="30D0FEBA" w:tentative="1">
      <w:start w:val="1"/>
      <w:numFmt w:val="bullet"/>
      <w:lvlText w:val=""/>
      <w:lvlJc w:val="left"/>
      <w:pPr>
        <w:tabs>
          <w:tab w:val="num" w:pos="3600"/>
        </w:tabs>
        <w:ind w:left="3600" w:hanging="360"/>
      </w:pPr>
      <w:rPr>
        <w:rFonts w:ascii="Wingdings 3" w:hAnsi="Wingdings 3" w:hint="default"/>
      </w:rPr>
    </w:lvl>
    <w:lvl w:ilvl="5" w:tplc="D20EDEE6" w:tentative="1">
      <w:start w:val="1"/>
      <w:numFmt w:val="bullet"/>
      <w:lvlText w:val=""/>
      <w:lvlJc w:val="left"/>
      <w:pPr>
        <w:tabs>
          <w:tab w:val="num" w:pos="4320"/>
        </w:tabs>
        <w:ind w:left="4320" w:hanging="360"/>
      </w:pPr>
      <w:rPr>
        <w:rFonts w:ascii="Wingdings 3" w:hAnsi="Wingdings 3" w:hint="default"/>
      </w:rPr>
    </w:lvl>
    <w:lvl w:ilvl="6" w:tplc="ACE20710" w:tentative="1">
      <w:start w:val="1"/>
      <w:numFmt w:val="bullet"/>
      <w:lvlText w:val=""/>
      <w:lvlJc w:val="left"/>
      <w:pPr>
        <w:tabs>
          <w:tab w:val="num" w:pos="5040"/>
        </w:tabs>
        <w:ind w:left="5040" w:hanging="360"/>
      </w:pPr>
      <w:rPr>
        <w:rFonts w:ascii="Wingdings 3" w:hAnsi="Wingdings 3" w:hint="default"/>
      </w:rPr>
    </w:lvl>
    <w:lvl w:ilvl="7" w:tplc="717C2FCC" w:tentative="1">
      <w:start w:val="1"/>
      <w:numFmt w:val="bullet"/>
      <w:lvlText w:val=""/>
      <w:lvlJc w:val="left"/>
      <w:pPr>
        <w:tabs>
          <w:tab w:val="num" w:pos="5760"/>
        </w:tabs>
        <w:ind w:left="5760" w:hanging="360"/>
      </w:pPr>
      <w:rPr>
        <w:rFonts w:ascii="Wingdings 3" w:hAnsi="Wingdings 3" w:hint="default"/>
      </w:rPr>
    </w:lvl>
    <w:lvl w:ilvl="8" w:tplc="32BA88C0"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3E5D499E"/>
    <w:multiLevelType w:val="hybridMultilevel"/>
    <w:tmpl w:val="FAE4A6C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419A7254"/>
    <w:multiLevelType w:val="hybridMultilevel"/>
    <w:tmpl w:val="8E000CAC"/>
    <w:lvl w:ilvl="0" w:tplc="A38CB230">
      <w:start w:val="1"/>
      <w:numFmt w:val="bullet"/>
      <w:pStyle w:val="Liste"/>
      <w:lvlText w:val="è"/>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4ABB3A6A"/>
    <w:multiLevelType w:val="hybridMultilevel"/>
    <w:tmpl w:val="F39A01E2"/>
    <w:lvl w:ilvl="0" w:tplc="AEA20D8C">
      <w:start w:val="1"/>
      <w:numFmt w:val="bullet"/>
      <w:pStyle w:val="Aufzhlun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4C1A58A4"/>
    <w:multiLevelType w:val="hybridMultilevel"/>
    <w:tmpl w:val="914C97D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5C7246A8"/>
    <w:multiLevelType w:val="hybridMultilevel"/>
    <w:tmpl w:val="87180BD8"/>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4" w15:restartNumberingAfterBreak="0">
    <w:nsid w:val="5F661339"/>
    <w:multiLevelType w:val="hybridMultilevel"/>
    <w:tmpl w:val="EE503282"/>
    <w:lvl w:ilvl="0" w:tplc="FF1A3FD8">
      <w:start w:val="1"/>
      <w:numFmt w:val="bullet"/>
      <w:pStyle w:val="Master"/>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15:restartNumberingAfterBreak="0">
    <w:nsid w:val="78AA57FF"/>
    <w:multiLevelType w:val="hybridMultilevel"/>
    <w:tmpl w:val="8F60DFB2"/>
    <w:lvl w:ilvl="0" w:tplc="B02E58CA">
      <w:start w:val="1"/>
      <w:numFmt w:val="bullet"/>
      <w:pStyle w:val="Hiddentex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num w:numId="1" w16cid:durableId="460654707">
    <w:abstractNumId w:val="3"/>
  </w:num>
  <w:num w:numId="2" w16cid:durableId="1711564161">
    <w:abstractNumId w:val="2"/>
  </w:num>
  <w:num w:numId="3" w16cid:durableId="638268117">
    <w:abstractNumId w:val="1"/>
  </w:num>
  <w:num w:numId="4" w16cid:durableId="1054232372">
    <w:abstractNumId w:val="0"/>
  </w:num>
  <w:num w:numId="5" w16cid:durableId="1777478737">
    <w:abstractNumId w:val="4"/>
  </w:num>
  <w:num w:numId="6" w16cid:durableId="1981492139">
    <w:abstractNumId w:val="10"/>
  </w:num>
  <w:num w:numId="7" w16cid:durableId="711661570">
    <w:abstractNumId w:val="7"/>
  </w:num>
  <w:num w:numId="8" w16cid:durableId="1807356143">
    <w:abstractNumId w:val="6"/>
  </w:num>
  <w:num w:numId="9" w16cid:durableId="348991203">
    <w:abstractNumId w:val="3"/>
  </w:num>
  <w:num w:numId="10" w16cid:durableId="619188250">
    <w:abstractNumId w:val="2"/>
  </w:num>
  <w:num w:numId="11" w16cid:durableId="716583811">
    <w:abstractNumId w:val="1"/>
  </w:num>
  <w:num w:numId="12" w16cid:durableId="1777940820">
    <w:abstractNumId w:val="0"/>
  </w:num>
  <w:num w:numId="13" w16cid:durableId="135415916">
    <w:abstractNumId w:val="4"/>
  </w:num>
  <w:num w:numId="14" w16cid:durableId="87578035">
    <w:abstractNumId w:val="6"/>
  </w:num>
  <w:num w:numId="15" w16cid:durableId="860775971">
    <w:abstractNumId w:val="10"/>
  </w:num>
  <w:num w:numId="16" w16cid:durableId="1253903376">
    <w:abstractNumId w:val="7"/>
  </w:num>
  <w:num w:numId="17" w16cid:durableId="1691948949">
    <w:abstractNumId w:val="6"/>
  </w:num>
  <w:num w:numId="18" w16cid:durableId="28914779">
    <w:abstractNumId w:val="6"/>
  </w:num>
  <w:num w:numId="19" w16cid:durableId="1775129878">
    <w:abstractNumId w:val="6"/>
  </w:num>
  <w:num w:numId="20" w16cid:durableId="1561668285">
    <w:abstractNumId w:val="6"/>
  </w:num>
  <w:num w:numId="21" w16cid:durableId="1479884479">
    <w:abstractNumId w:val="6"/>
  </w:num>
  <w:num w:numId="22" w16cid:durableId="1885094553">
    <w:abstractNumId w:val="6"/>
  </w:num>
  <w:num w:numId="23" w16cid:durableId="217211059">
    <w:abstractNumId w:val="6"/>
  </w:num>
  <w:num w:numId="24" w16cid:durableId="1092507293">
    <w:abstractNumId w:val="6"/>
  </w:num>
  <w:num w:numId="25" w16cid:durableId="1936354538">
    <w:abstractNumId w:val="3"/>
  </w:num>
  <w:num w:numId="26" w16cid:durableId="903103417">
    <w:abstractNumId w:val="2"/>
  </w:num>
  <w:num w:numId="27" w16cid:durableId="454298324">
    <w:abstractNumId w:val="1"/>
  </w:num>
  <w:num w:numId="28" w16cid:durableId="2047674062">
    <w:abstractNumId w:val="0"/>
  </w:num>
  <w:num w:numId="29" w16cid:durableId="1388457415">
    <w:abstractNumId w:val="4"/>
  </w:num>
  <w:num w:numId="30" w16cid:durableId="1716152912">
    <w:abstractNumId w:val="6"/>
  </w:num>
  <w:num w:numId="31" w16cid:durableId="652762621">
    <w:abstractNumId w:val="10"/>
  </w:num>
  <w:num w:numId="32" w16cid:durableId="969628127">
    <w:abstractNumId w:val="7"/>
  </w:num>
  <w:num w:numId="33" w16cid:durableId="87193983">
    <w:abstractNumId w:val="6"/>
  </w:num>
  <w:num w:numId="34" w16cid:durableId="324287767">
    <w:abstractNumId w:val="6"/>
  </w:num>
  <w:num w:numId="35" w16cid:durableId="1334643674">
    <w:abstractNumId w:val="6"/>
  </w:num>
  <w:num w:numId="36" w16cid:durableId="366948172">
    <w:abstractNumId w:val="6"/>
  </w:num>
  <w:num w:numId="37" w16cid:durableId="1141191475">
    <w:abstractNumId w:val="6"/>
  </w:num>
  <w:num w:numId="38" w16cid:durableId="1122769252">
    <w:abstractNumId w:val="6"/>
  </w:num>
  <w:num w:numId="39" w16cid:durableId="771123729">
    <w:abstractNumId w:val="6"/>
  </w:num>
  <w:num w:numId="40" w16cid:durableId="1750496581">
    <w:abstractNumId w:val="6"/>
  </w:num>
  <w:num w:numId="41" w16cid:durableId="1304389574">
    <w:abstractNumId w:val="11"/>
  </w:num>
  <w:num w:numId="42" w16cid:durableId="997655258">
    <w:abstractNumId w:val="5"/>
  </w:num>
  <w:num w:numId="43" w16cid:durableId="687028353">
    <w:abstractNumId w:val="14"/>
  </w:num>
  <w:num w:numId="44" w16cid:durableId="1348020529">
    <w:abstractNumId w:val="13"/>
  </w:num>
  <w:num w:numId="45" w16cid:durableId="995189031">
    <w:abstractNumId w:val="8"/>
  </w:num>
  <w:num w:numId="46" w16cid:durableId="784890718">
    <w:abstractNumId w:val="15"/>
  </w:num>
  <w:num w:numId="47" w16cid:durableId="1485197886">
    <w:abstractNumId w:val="9"/>
  </w:num>
  <w:num w:numId="48" w16cid:durableId="238059202">
    <w:abstractNumId w:val="12"/>
  </w:num>
  <w:num w:numId="49" w16cid:durableId="1034690911">
    <w:abstractNumId w:val="11"/>
  </w:num>
  <w:num w:numId="50" w16cid:durableId="1264194156">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oNotTrackFormatting/>
  <w:documentProtection w:edit="forms" w:enforcement="1" w:cryptProviderType="rsaAES" w:cryptAlgorithmClass="hash" w:cryptAlgorithmType="typeAny" w:cryptAlgorithmSid="14" w:cryptSpinCount="100000" w:hash="Vy7mIbyPJ3Cklhsstda05XlEqjmSFsxEgVKmEmHbE3FxrDQxmkB06P2yUDBgPsikdwFCcr0/TgkhhpdDQKwY+Q==" w:salt="cQUAERAgHGD/mbwyNm4OlA=="/>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A2E"/>
    <w:rsid w:val="00007159"/>
    <w:rsid w:val="0003339F"/>
    <w:rsid w:val="00041572"/>
    <w:rsid w:val="00051B11"/>
    <w:rsid w:val="00072817"/>
    <w:rsid w:val="00082B23"/>
    <w:rsid w:val="000A0802"/>
    <w:rsid w:val="000D1C5E"/>
    <w:rsid w:val="000D420D"/>
    <w:rsid w:val="00106871"/>
    <w:rsid w:val="00136A22"/>
    <w:rsid w:val="00147ADF"/>
    <w:rsid w:val="0015728C"/>
    <w:rsid w:val="00160F20"/>
    <w:rsid w:val="00181AAF"/>
    <w:rsid w:val="001922CF"/>
    <w:rsid w:val="001A11F3"/>
    <w:rsid w:val="001B03EC"/>
    <w:rsid w:val="001B270A"/>
    <w:rsid w:val="001B32DD"/>
    <w:rsid w:val="001C60C8"/>
    <w:rsid w:val="002027F0"/>
    <w:rsid w:val="00204BF9"/>
    <w:rsid w:val="00212675"/>
    <w:rsid w:val="002214AC"/>
    <w:rsid w:val="00241F22"/>
    <w:rsid w:val="0026294D"/>
    <w:rsid w:val="002E4622"/>
    <w:rsid w:val="002E54B2"/>
    <w:rsid w:val="003330A1"/>
    <w:rsid w:val="0033505C"/>
    <w:rsid w:val="00362DC0"/>
    <w:rsid w:val="0036315A"/>
    <w:rsid w:val="003745F8"/>
    <w:rsid w:val="003770F2"/>
    <w:rsid w:val="00385B1F"/>
    <w:rsid w:val="003A5A02"/>
    <w:rsid w:val="003C0367"/>
    <w:rsid w:val="003C2C92"/>
    <w:rsid w:val="003F26E6"/>
    <w:rsid w:val="003F352B"/>
    <w:rsid w:val="00417F93"/>
    <w:rsid w:val="0042007B"/>
    <w:rsid w:val="004233F8"/>
    <w:rsid w:val="00427DD6"/>
    <w:rsid w:val="00432C33"/>
    <w:rsid w:val="00446F9F"/>
    <w:rsid w:val="00452614"/>
    <w:rsid w:val="00473C5C"/>
    <w:rsid w:val="00476055"/>
    <w:rsid w:val="0048489F"/>
    <w:rsid w:val="00485270"/>
    <w:rsid w:val="0049196A"/>
    <w:rsid w:val="0049691F"/>
    <w:rsid w:val="004A1892"/>
    <w:rsid w:val="004A5A2E"/>
    <w:rsid w:val="004B09F3"/>
    <w:rsid w:val="004B2158"/>
    <w:rsid w:val="004C12B8"/>
    <w:rsid w:val="004C682F"/>
    <w:rsid w:val="004E26ED"/>
    <w:rsid w:val="00502DCD"/>
    <w:rsid w:val="005118E6"/>
    <w:rsid w:val="00512F8A"/>
    <w:rsid w:val="005132B9"/>
    <w:rsid w:val="00516C47"/>
    <w:rsid w:val="00525AB6"/>
    <w:rsid w:val="00535D09"/>
    <w:rsid w:val="00566470"/>
    <w:rsid w:val="0057592C"/>
    <w:rsid w:val="005824B7"/>
    <w:rsid w:val="00597B3B"/>
    <w:rsid w:val="005A777C"/>
    <w:rsid w:val="005B58F2"/>
    <w:rsid w:val="005B6E67"/>
    <w:rsid w:val="005B787F"/>
    <w:rsid w:val="005B78E6"/>
    <w:rsid w:val="005D427C"/>
    <w:rsid w:val="005D737F"/>
    <w:rsid w:val="0060334A"/>
    <w:rsid w:val="00605791"/>
    <w:rsid w:val="0061589F"/>
    <w:rsid w:val="00616E1C"/>
    <w:rsid w:val="00624947"/>
    <w:rsid w:val="0063600C"/>
    <w:rsid w:val="00653162"/>
    <w:rsid w:val="00667C7F"/>
    <w:rsid w:val="006848CA"/>
    <w:rsid w:val="00691637"/>
    <w:rsid w:val="006A2812"/>
    <w:rsid w:val="006A4B2D"/>
    <w:rsid w:val="006B36A1"/>
    <w:rsid w:val="00702A35"/>
    <w:rsid w:val="00711C99"/>
    <w:rsid w:val="00714BD4"/>
    <w:rsid w:val="00734768"/>
    <w:rsid w:val="007412C7"/>
    <w:rsid w:val="007436A4"/>
    <w:rsid w:val="0075220A"/>
    <w:rsid w:val="00756A0C"/>
    <w:rsid w:val="00757F64"/>
    <w:rsid w:val="00760253"/>
    <w:rsid w:val="007614DE"/>
    <w:rsid w:val="0077107A"/>
    <w:rsid w:val="007741C0"/>
    <w:rsid w:val="007947E3"/>
    <w:rsid w:val="007A03E6"/>
    <w:rsid w:val="007A7C1F"/>
    <w:rsid w:val="007C0DC0"/>
    <w:rsid w:val="007C3335"/>
    <w:rsid w:val="007D5647"/>
    <w:rsid w:val="007F38DB"/>
    <w:rsid w:val="007F54D3"/>
    <w:rsid w:val="00833582"/>
    <w:rsid w:val="00840DE2"/>
    <w:rsid w:val="0084706C"/>
    <w:rsid w:val="0085482B"/>
    <w:rsid w:val="008660CD"/>
    <w:rsid w:val="00874197"/>
    <w:rsid w:val="00874A97"/>
    <w:rsid w:val="00884020"/>
    <w:rsid w:val="008B3128"/>
    <w:rsid w:val="008E3882"/>
    <w:rsid w:val="00905978"/>
    <w:rsid w:val="00905BA5"/>
    <w:rsid w:val="00906E5B"/>
    <w:rsid w:val="00920D7A"/>
    <w:rsid w:val="00946CBB"/>
    <w:rsid w:val="00961812"/>
    <w:rsid w:val="00974FEF"/>
    <w:rsid w:val="00975D2B"/>
    <w:rsid w:val="00976D1B"/>
    <w:rsid w:val="00991356"/>
    <w:rsid w:val="00991582"/>
    <w:rsid w:val="00993553"/>
    <w:rsid w:val="00997F69"/>
    <w:rsid w:val="009D6509"/>
    <w:rsid w:val="009E06BB"/>
    <w:rsid w:val="009E09B6"/>
    <w:rsid w:val="00A01AE9"/>
    <w:rsid w:val="00A12080"/>
    <w:rsid w:val="00A12242"/>
    <w:rsid w:val="00A35B91"/>
    <w:rsid w:val="00A44A92"/>
    <w:rsid w:val="00A52AE7"/>
    <w:rsid w:val="00A873A7"/>
    <w:rsid w:val="00A93972"/>
    <w:rsid w:val="00AA3210"/>
    <w:rsid w:val="00AD08E0"/>
    <w:rsid w:val="00B05645"/>
    <w:rsid w:val="00B11C4D"/>
    <w:rsid w:val="00B21419"/>
    <w:rsid w:val="00B23223"/>
    <w:rsid w:val="00B42C5B"/>
    <w:rsid w:val="00B74266"/>
    <w:rsid w:val="00BA4874"/>
    <w:rsid w:val="00BB0086"/>
    <w:rsid w:val="00BB41F4"/>
    <w:rsid w:val="00BD2E7D"/>
    <w:rsid w:val="00BE0C18"/>
    <w:rsid w:val="00BE5FFE"/>
    <w:rsid w:val="00BE7405"/>
    <w:rsid w:val="00BF432E"/>
    <w:rsid w:val="00C0426A"/>
    <w:rsid w:val="00C042D3"/>
    <w:rsid w:val="00C12449"/>
    <w:rsid w:val="00C14452"/>
    <w:rsid w:val="00C20F0C"/>
    <w:rsid w:val="00C62071"/>
    <w:rsid w:val="00C828A0"/>
    <w:rsid w:val="00C87F7C"/>
    <w:rsid w:val="00C90190"/>
    <w:rsid w:val="00C96522"/>
    <w:rsid w:val="00CA3259"/>
    <w:rsid w:val="00CB6987"/>
    <w:rsid w:val="00CD6E37"/>
    <w:rsid w:val="00CF182B"/>
    <w:rsid w:val="00D01FEB"/>
    <w:rsid w:val="00D2635D"/>
    <w:rsid w:val="00D7102F"/>
    <w:rsid w:val="00D71445"/>
    <w:rsid w:val="00D8746E"/>
    <w:rsid w:val="00D97AA3"/>
    <w:rsid w:val="00DB5069"/>
    <w:rsid w:val="00DC6AC5"/>
    <w:rsid w:val="00DE0AA4"/>
    <w:rsid w:val="00E01336"/>
    <w:rsid w:val="00E33D73"/>
    <w:rsid w:val="00E473FE"/>
    <w:rsid w:val="00E61104"/>
    <w:rsid w:val="00E65904"/>
    <w:rsid w:val="00E80234"/>
    <w:rsid w:val="00E8680C"/>
    <w:rsid w:val="00EB41F5"/>
    <w:rsid w:val="00EC623A"/>
    <w:rsid w:val="00EC6735"/>
    <w:rsid w:val="00EC723F"/>
    <w:rsid w:val="00ED5AF0"/>
    <w:rsid w:val="00ED5DDD"/>
    <w:rsid w:val="00EE404D"/>
    <w:rsid w:val="00F12213"/>
    <w:rsid w:val="00F12597"/>
    <w:rsid w:val="00F21659"/>
    <w:rsid w:val="00F26AA6"/>
    <w:rsid w:val="00F31BC0"/>
    <w:rsid w:val="00F32084"/>
    <w:rsid w:val="00F36197"/>
    <w:rsid w:val="00F41194"/>
    <w:rsid w:val="00F44F95"/>
    <w:rsid w:val="00F55A47"/>
    <w:rsid w:val="00F67BBE"/>
    <w:rsid w:val="00F733C7"/>
    <w:rsid w:val="00F748F7"/>
    <w:rsid w:val="00F76B3B"/>
    <w:rsid w:val="00F818BD"/>
    <w:rsid w:val="00F91AB9"/>
    <w:rsid w:val="00FB104F"/>
    <w:rsid w:val="00FB162F"/>
    <w:rsid w:val="00FB6B9D"/>
    <w:rsid w:val="00FF351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478CE"/>
  <w15:docId w15:val="{6B000051-C0C0-4CB0-826D-CCCA94D34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SBB Standard"/>
    <w:qFormat/>
    <w:rsid w:val="00F733C7"/>
    <w:pPr>
      <w:spacing w:after="0" w:line="280" w:lineRule="atLeast"/>
    </w:pPr>
    <w:rPr>
      <w:rFonts w:ascii="Arial" w:eastAsiaTheme="minorHAnsi" w:hAnsi="Arial"/>
      <w:sz w:val="20"/>
      <w:lang w:eastAsia="en-US"/>
    </w:rPr>
  </w:style>
  <w:style w:type="paragraph" w:styleId="berschrift1">
    <w:name w:val="heading 1"/>
    <w:aliases w:val="SBB Überschrift 1,Übers.1,Überschrift a1,hei,Section Heading,H1&lt;------------------,H1,H11,H12,H13,H14,H15,H16,H17,H18,H19,H110,H111,H112,H121,H131,H141,H151,H161,H171,H181,H191,H1101,num.                          1,Headline1"/>
    <w:basedOn w:val="Standard"/>
    <w:next w:val="Standard"/>
    <w:link w:val="berschrift1Zchn"/>
    <w:qFormat/>
    <w:rsid w:val="004A5A2E"/>
    <w:pPr>
      <w:keepLines/>
      <w:numPr>
        <w:numId w:val="40"/>
      </w:numPr>
      <w:tabs>
        <w:tab w:val="left" w:pos="680"/>
      </w:tabs>
      <w:spacing w:before="240" w:after="60" w:line="240" w:lineRule="auto"/>
      <w:ind w:left="680" w:hanging="680"/>
      <w:outlineLvl w:val="0"/>
    </w:pPr>
    <w:rPr>
      <w:rFonts w:eastAsiaTheme="majorEastAsia" w:cstheme="majorBidi"/>
      <w:b/>
      <w:bCs/>
      <w:color w:val="EB0000"/>
      <w:sz w:val="24"/>
      <w:szCs w:val="28"/>
      <w:lang w:eastAsia="de-CH"/>
    </w:rPr>
  </w:style>
  <w:style w:type="paragraph" w:styleId="berschrift2">
    <w:name w:val="heading 2"/>
    <w:aliases w:val="SBB Überschrift 2,Übers.2,Gliederung,l2,I2,H2,num.                                               2,Headline 2,Gliederung2,ueb11_semarb,ueb11_semarb1,ueb11_semarb2,ueb11_semarb3,H21,ueb11_semarb11,ueb11_semarb21,ueb11_semarb4,H22"/>
    <w:basedOn w:val="berschrift1"/>
    <w:next w:val="Standard"/>
    <w:link w:val="berschrift2Zchn"/>
    <w:unhideWhenUsed/>
    <w:qFormat/>
    <w:rsid w:val="00C12449"/>
    <w:pPr>
      <w:numPr>
        <w:ilvl w:val="1"/>
      </w:numPr>
      <w:ind w:left="680" w:hanging="680"/>
      <w:outlineLvl w:val="1"/>
    </w:pPr>
    <w:rPr>
      <w:color w:val="auto"/>
      <w:sz w:val="20"/>
      <w:szCs w:val="26"/>
    </w:rPr>
  </w:style>
  <w:style w:type="paragraph" w:styleId="berschrift3">
    <w:name w:val="heading 3"/>
    <w:aliases w:val="SBB Überschrift 3,Übers.3,H3,num.                                              3,Header 3,Header3,Gliederung3,H3&lt;------------------,a_Heading 3,PA Minor Section,H31,H32,H33,H34,H35,H36,H37,H38,H39,H311,H321,H331,H341,H351,H361,H371,H381"/>
    <w:basedOn w:val="berschrift2"/>
    <w:next w:val="Standard"/>
    <w:link w:val="berschrift3Zchn"/>
    <w:unhideWhenUsed/>
    <w:qFormat/>
    <w:rsid w:val="00C12449"/>
    <w:pPr>
      <w:numPr>
        <w:ilvl w:val="2"/>
      </w:numPr>
      <w:ind w:left="680" w:hanging="680"/>
      <w:outlineLvl w:val="2"/>
    </w:pPr>
    <w:rPr>
      <w:rFonts w:eastAsia="Times New Roman"/>
      <w:b w:val="0"/>
      <w:bCs w:val="0"/>
    </w:rPr>
  </w:style>
  <w:style w:type="paragraph" w:styleId="berschrift4">
    <w:name w:val="heading 4"/>
    <w:aliases w:val="SBB Überschrift 4,H4,num.                                               4,Header 4,Titel X.X.X.x.,ASAPHeading 4,Level 2 - a,Übersch.4"/>
    <w:basedOn w:val="berschrift3"/>
    <w:next w:val="Standard"/>
    <w:link w:val="berschrift4Zchn"/>
    <w:unhideWhenUsed/>
    <w:qFormat/>
    <w:rsid w:val="00566470"/>
    <w:pPr>
      <w:numPr>
        <w:ilvl w:val="3"/>
      </w:numPr>
      <w:tabs>
        <w:tab w:val="clear" w:pos="680"/>
        <w:tab w:val="left" w:pos="907"/>
      </w:tabs>
      <w:ind w:left="907" w:hanging="907"/>
      <w:outlineLvl w:val="3"/>
    </w:pPr>
    <w:rPr>
      <w:bCs/>
      <w:iCs/>
    </w:rPr>
  </w:style>
  <w:style w:type="paragraph" w:styleId="berschrift5">
    <w:name w:val="heading 5"/>
    <w:aliases w:val="SBB Überschrift 5"/>
    <w:basedOn w:val="Standard"/>
    <w:next w:val="berschrift4"/>
    <w:link w:val="berschrift5Zchn"/>
    <w:unhideWhenUsed/>
    <w:qFormat/>
    <w:rsid w:val="00566470"/>
    <w:pPr>
      <w:numPr>
        <w:ilvl w:val="4"/>
        <w:numId w:val="40"/>
      </w:numPr>
      <w:tabs>
        <w:tab w:val="left" w:pos="1134"/>
      </w:tabs>
      <w:spacing w:before="240" w:after="60" w:line="240" w:lineRule="auto"/>
      <w:ind w:left="1134" w:hanging="1134"/>
      <w:outlineLvl w:val="4"/>
    </w:pPr>
    <w:rPr>
      <w:rFonts w:eastAsia="Times New Roman"/>
      <w:lang w:eastAsia="de-CH"/>
    </w:rPr>
  </w:style>
  <w:style w:type="paragraph" w:styleId="berschrift6">
    <w:name w:val="heading 6"/>
    <w:aliases w:val="SBB Überschrift 6"/>
    <w:basedOn w:val="berschrift5"/>
    <w:next w:val="Standard"/>
    <w:link w:val="berschrift6Zchn"/>
    <w:unhideWhenUsed/>
    <w:qFormat/>
    <w:rsid w:val="00566470"/>
    <w:pPr>
      <w:numPr>
        <w:ilvl w:val="5"/>
      </w:numPr>
      <w:tabs>
        <w:tab w:val="clear" w:pos="1134"/>
        <w:tab w:val="left" w:pos="1361"/>
      </w:tabs>
      <w:ind w:left="1361" w:hanging="1361"/>
      <w:outlineLvl w:val="5"/>
    </w:pPr>
    <w:rPr>
      <w:iCs/>
    </w:rPr>
  </w:style>
  <w:style w:type="paragraph" w:styleId="berschrift7">
    <w:name w:val="heading 7"/>
    <w:aliases w:val="SBB Überschrift 7"/>
    <w:basedOn w:val="berschrift6"/>
    <w:next w:val="Standard"/>
    <w:link w:val="berschrift7Zchn"/>
    <w:unhideWhenUsed/>
    <w:qFormat/>
    <w:rsid w:val="00566470"/>
    <w:pPr>
      <w:numPr>
        <w:ilvl w:val="6"/>
      </w:numPr>
      <w:tabs>
        <w:tab w:val="clear" w:pos="1361"/>
        <w:tab w:val="left" w:pos="1588"/>
      </w:tabs>
      <w:ind w:left="1588" w:hanging="1588"/>
      <w:outlineLvl w:val="6"/>
    </w:pPr>
    <w:rPr>
      <w:iCs w:val="0"/>
    </w:rPr>
  </w:style>
  <w:style w:type="paragraph" w:styleId="berschrift8">
    <w:name w:val="heading 8"/>
    <w:aliases w:val="SBB Überschrift 8"/>
    <w:basedOn w:val="berschrift7"/>
    <w:next w:val="Standard"/>
    <w:link w:val="berschrift8Zchn"/>
    <w:unhideWhenUsed/>
    <w:qFormat/>
    <w:rsid w:val="002027F0"/>
    <w:pPr>
      <w:numPr>
        <w:ilvl w:val="7"/>
      </w:numPr>
      <w:tabs>
        <w:tab w:val="clear" w:pos="1588"/>
        <w:tab w:val="left" w:pos="1814"/>
      </w:tabs>
      <w:ind w:left="1814" w:hanging="1814"/>
      <w:outlineLvl w:val="7"/>
    </w:pPr>
    <w:rPr>
      <w:szCs w:val="20"/>
    </w:rPr>
  </w:style>
  <w:style w:type="paragraph" w:styleId="berschrift9">
    <w:name w:val="heading 9"/>
    <w:aliases w:val="SBB Überschrift 9"/>
    <w:basedOn w:val="berschrift8"/>
    <w:next w:val="Standard"/>
    <w:link w:val="berschrift9Zchn"/>
    <w:unhideWhenUsed/>
    <w:qFormat/>
    <w:rsid w:val="002027F0"/>
    <w:pPr>
      <w:numPr>
        <w:ilvl w:val="8"/>
      </w:numPr>
      <w:tabs>
        <w:tab w:val="clear" w:pos="1814"/>
        <w:tab w:val="left" w:pos="2041"/>
      </w:tabs>
      <w:ind w:left="2041" w:hanging="2041"/>
      <w:outlineLvl w:val="8"/>
    </w:pPr>
    <w:rPr>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2">
    <w:name w:val="List Bullet 2"/>
    <w:aliases w:val="SBB Aufzählungszeichen 2"/>
    <w:basedOn w:val="Standard"/>
    <w:next w:val="Standard"/>
    <w:uiPriority w:val="99"/>
    <w:rsid w:val="00702A35"/>
    <w:pPr>
      <w:numPr>
        <w:numId w:val="25"/>
      </w:numPr>
      <w:contextualSpacing/>
    </w:pPr>
  </w:style>
  <w:style w:type="paragraph" w:styleId="Aufzhlungszeichen3">
    <w:name w:val="List Bullet 3"/>
    <w:aliases w:val="SBB Aufzählungszeichen 3"/>
    <w:basedOn w:val="Standard"/>
    <w:uiPriority w:val="99"/>
    <w:rsid w:val="00702A35"/>
    <w:pPr>
      <w:numPr>
        <w:numId w:val="26"/>
      </w:numPr>
      <w:tabs>
        <w:tab w:val="num" w:pos="360"/>
      </w:tabs>
      <w:ind w:left="0" w:firstLine="0"/>
      <w:contextualSpacing/>
    </w:pPr>
  </w:style>
  <w:style w:type="paragraph" w:styleId="Aufzhlungszeichen4">
    <w:name w:val="List Bullet 4"/>
    <w:aliases w:val="SBB Aufzählungszeichen 4"/>
    <w:basedOn w:val="Standard"/>
    <w:uiPriority w:val="99"/>
    <w:rsid w:val="00702A35"/>
    <w:pPr>
      <w:numPr>
        <w:numId w:val="27"/>
      </w:numPr>
      <w:contextualSpacing/>
    </w:pPr>
  </w:style>
  <w:style w:type="paragraph" w:styleId="Aufzhlungszeichen5">
    <w:name w:val="List Bullet 5"/>
    <w:aliases w:val="SBB Aufzählungszeichen 5"/>
    <w:basedOn w:val="Standard"/>
    <w:uiPriority w:val="99"/>
    <w:rsid w:val="00702A35"/>
    <w:pPr>
      <w:numPr>
        <w:numId w:val="28"/>
      </w:numPr>
      <w:contextualSpacing/>
    </w:pPr>
  </w:style>
  <w:style w:type="paragraph" w:styleId="Aufzhlungszeichen">
    <w:name w:val="List Bullet"/>
    <w:aliases w:val="SBB Aufzählungszeichen"/>
    <w:basedOn w:val="Standard"/>
    <w:uiPriority w:val="99"/>
    <w:rsid w:val="00702A35"/>
    <w:pPr>
      <w:numPr>
        <w:numId w:val="29"/>
      </w:numPr>
      <w:contextualSpacing/>
    </w:pPr>
  </w:style>
  <w:style w:type="paragraph" w:styleId="Beschriftung">
    <w:name w:val="caption"/>
    <w:aliases w:val="SBB Beschriftung"/>
    <w:basedOn w:val="Standard"/>
    <w:next w:val="Standard"/>
    <w:qFormat/>
    <w:rsid w:val="00566470"/>
    <w:rPr>
      <w:b/>
      <w:bCs/>
      <w:sz w:val="18"/>
      <w:szCs w:val="18"/>
    </w:rPr>
  </w:style>
  <w:style w:type="paragraph" w:styleId="Endnotentext">
    <w:name w:val="endnote text"/>
    <w:aliases w:val="SBB Endnotentext"/>
    <w:basedOn w:val="Standard"/>
    <w:link w:val="EndnotentextZchn"/>
    <w:uiPriority w:val="99"/>
    <w:semiHidden/>
    <w:unhideWhenUsed/>
    <w:rsid w:val="00702A35"/>
    <w:pPr>
      <w:framePr w:wrap="notBeside" w:vAnchor="text" w:hAnchor="text" w:y="1"/>
    </w:pPr>
    <w:rPr>
      <w:rFonts w:eastAsia="Times New Roman"/>
      <w:lang w:eastAsia="de-CH"/>
    </w:rPr>
  </w:style>
  <w:style w:type="character" w:customStyle="1" w:styleId="EndnotentextZchn">
    <w:name w:val="Endnotentext Zchn"/>
    <w:aliases w:val="SBB Endnotentext Zchn"/>
    <w:basedOn w:val="Absatz-Standardschriftart"/>
    <w:link w:val="Endnotentext"/>
    <w:uiPriority w:val="99"/>
    <w:semiHidden/>
    <w:rsid w:val="00702A35"/>
    <w:rPr>
      <w:rFonts w:ascii="Arial" w:eastAsia="Times New Roman" w:hAnsi="Arial"/>
      <w:lang w:val="fr-FR" w:eastAsia="de-CH"/>
    </w:rPr>
  </w:style>
  <w:style w:type="character" w:styleId="Endnotenzeichen">
    <w:name w:val="endnote reference"/>
    <w:basedOn w:val="Absatz-Standardschriftart"/>
    <w:uiPriority w:val="99"/>
    <w:semiHidden/>
    <w:unhideWhenUsed/>
    <w:rsid w:val="00702A35"/>
    <w:rPr>
      <w:vertAlign w:val="superscript"/>
    </w:rPr>
  </w:style>
  <w:style w:type="paragraph" w:styleId="Funotentext">
    <w:name w:val="footnote text"/>
    <w:aliases w:val="SBB Fußnotentext"/>
    <w:basedOn w:val="Standard"/>
    <w:link w:val="FunotentextZchn"/>
    <w:uiPriority w:val="99"/>
    <w:semiHidden/>
    <w:unhideWhenUsed/>
    <w:rsid w:val="00702A35"/>
    <w:pPr>
      <w:framePr w:wrap="notBeside" w:vAnchor="text" w:hAnchor="text" w:y="1"/>
    </w:pPr>
    <w:rPr>
      <w:rFonts w:eastAsia="Times New Roman"/>
      <w:lang w:eastAsia="de-CH"/>
    </w:rPr>
  </w:style>
  <w:style w:type="character" w:customStyle="1" w:styleId="FunotentextZchn">
    <w:name w:val="Fußnotentext Zchn"/>
    <w:aliases w:val="SBB Fußnotentext Zchn"/>
    <w:basedOn w:val="Absatz-Standardschriftart"/>
    <w:link w:val="Funotentext"/>
    <w:uiPriority w:val="99"/>
    <w:semiHidden/>
    <w:rsid w:val="00702A35"/>
    <w:rPr>
      <w:rFonts w:ascii="Arial" w:eastAsia="Times New Roman" w:hAnsi="Arial"/>
      <w:lang w:val="fr-FR" w:eastAsia="de-CH"/>
    </w:rPr>
  </w:style>
  <w:style w:type="character" w:styleId="Funotenzeichen">
    <w:name w:val="footnote reference"/>
    <w:basedOn w:val="Absatz-Standardschriftart"/>
    <w:uiPriority w:val="99"/>
    <w:semiHidden/>
    <w:unhideWhenUsed/>
    <w:rsid w:val="00702A35"/>
    <w:rPr>
      <w:vertAlign w:val="superscript"/>
    </w:rPr>
  </w:style>
  <w:style w:type="paragraph" w:styleId="Fuzeile">
    <w:name w:val="footer"/>
    <w:aliases w:val="SBB Fußzeile"/>
    <w:basedOn w:val="Standard"/>
    <w:link w:val="FuzeileZchn"/>
    <w:uiPriority w:val="99"/>
    <w:unhideWhenUsed/>
    <w:rsid w:val="00702A35"/>
    <w:pPr>
      <w:framePr w:wrap="notBeside" w:vAnchor="text" w:hAnchor="text" w:y="1"/>
      <w:tabs>
        <w:tab w:val="center" w:pos="4536"/>
        <w:tab w:val="right" w:pos="9072"/>
      </w:tabs>
    </w:pPr>
    <w:rPr>
      <w:rFonts w:eastAsia="Times New Roman"/>
      <w:lang w:eastAsia="de-CH"/>
    </w:rPr>
  </w:style>
  <w:style w:type="character" w:customStyle="1" w:styleId="FuzeileZchn">
    <w:name w:val="Fußzeile Zchn"/>
    <w:aliases w:val="SBB Fußzeile Zchn"/>
    <w:basedOn w:val="Absatz-Standardschriftart"/>
    <w:link w:val="Fuzeile"/>
    <w:uiPriority w:val="99"/>
    <w:rsid w:val="00702A35"/>
    <w:rPr>
      <w:rFonts w:ascii="Arial" w:eastAsia="Times New Roman" w:hAnsi="Arial"/>
      <w:lang w:val="fr-FR" w:eastAsia="de-CH"/>
    </w:rPr>
  </w:style>
  <w:style w:type="table" w:styleId="HelleListe-Akzent1">
    <w:name w:val="Light List Accent 1"/>
    <w:basedOn w:val="NormaleTabelle"/>
    <w:uiPriority w:val="61"/>
    <w:rsid w:val="00702A35"/>
    <w:pPr>
      <w:spacing w:after="0" w:line="240" w:lineRule="auto"/>
    </w:pPr>
    <w:tblPr>
      <w:tblStyleRowBandSize w:val="1"/>
      <w:tblStyleColBandSize w:val="1"/>
      <w:tblBorders>
        <w:top w:val="single" w:sz="8" w:space="0" w:color="ABADCB" w:themeColor="accent1"/>
        <w:left w:val="single" w:sz="8" w:space="0" w:color="ABADCB" w:themeColor="accent1"/>
        <w:bottom w:val="single" w:sz="8" w:space="0" w:color="ABADCB" w:themeColor="accent1"/>
        <w:right w:val="single" w:sz="8" w:space="0" w:color="ABADCB" w:themeColor="accent1"/>
      </w:tblBorders>
    </w:tblPr>
    <w:tblStylePr w:type="firstRow">
      <w:pPr>
        <w:spacing w:before="0" w:after="0" w:line="240" w:lineRule="auto"/>
      </w:pPr>
      <w:rPr>
        <w:b/>
        <w:bCs/>
        <w:color w:val="FFFFFF" w:themeColor="background1"/>
      </w:rPr>
      <w:tblPr/>
      <w:tcPr>
        <w:shd w:val="clear" w:color="auto" w:fill="ABADCB" w:themeFill="accent1"/>
      </w:tcPr>
    </w:tblStylePr>
    <w:tblStylePr w:type="lastRow">
      <w:pPr>
        <w:spacing w:before="0" w:after="0" w:line="240" w:lineRule="auto"/>
      </w:pPr>
      <w:rPr>
        <w:b/>
        <w:bCs/>
      </w:rPr>
      <w:tblPr/>
      <w:tcPr>
        <w:tcBorders>
          <w:top w:val="double" w:sz="6" w:space="0" w:color="ABADCB" w:themeColor="accent1"/>
          <w:left w:val="single" w:sz="8" w:space="0" w:color="ABADCB" w:themeColor="accent1"/>
          <w:bottom w:val="single" w:sz="8" w:space="0" w:color="ABADCB" w:themeColor="accent1"/>
          <w:right w:val="single" w:sz="8" w:space="0" w:color="ABADCB" w:themeColor="accent1"/>
        </w:tcBorders>
      </w:tcPr>
    </w:tblStylePr>
    <w:tblStylePr w:type="firstCol">
      <w:rPr>
        <w:b/>
        <w:bCs/>
      </w:rPr>
    </w:tblStylePr>
    <w:tblStylePr w:type="lastCol">
      <w:rPr>
        <w:b/>
        <w:bCs/>
      </w:rPr>
    </w:tblStylePr>
    <w:tblStylePr w:type="band1Vert">
      <w:tblPr/>
      <w:tcPr>
        <w:tcBorders>
          <w:top w:val="single" w:sz="8" w:space="0" w:color="ABADCB" w:themeColor="accent1"/>
          <w:left w:val="single" w:sz="8" w:space="0" w:color="ABADCB" w:themeColor="accent1"/>
          <w:bottom w:val="single" w:sz="8" w:space="0" w:color="ABADCB" w:themeColor="accent1"/>
          <w:right w:val="single" w:sz="8" w:space="0" w:color="ABADCB" w:themeColor="accent1"/>
        </w:tcBorders>
      </w:tcPr>
    </w:tblStylePr>
    <w:tblStylePr w:type="band1Horz">
      <w:tblPr/>
      <w:tcPr>
        <w:tcBorders>
          <w:top w:val="single" w:sz="8" w:space="0" w:color="ABADCB" w:themeColor="accent1"/>
          <w:left w:val="single" w:sz="8" w:space="0" w:color="ABADCB" w:themeColor="accent1"/>
          <w:bottom w:val="single" w:sz="8" w:space="0" w:color="ABADCB" w:themeColor="accent1"/>
          <w:right w:val="single" w:sz="8" w:space="0" w:color="ABADCB" w:themeColor="accent1"/>
        </w:tcBorders>
      </w:tcPr>
    </w:tblStylePr>
  </w:style>
  <w:style w:type="table" w:styleId="HelleSchattierung-Akzent1">
    <w:name w:val="Light Shading Accent 1"/>
    <w:basedOn w:val="NormaleTabelle"/>
    <w:uiPriority w:val="60"/>
    <w:rsid w:val="00702A35"/>
    <w:pPr>
      <w:spacing w:after="0" w:line="240" w:lineRule="auto"/>
    </w:pPr>
    <w:rPr>
      <w:color w:val="7074A7" w:themeColor="accent1" w:themeShade="BF"/>
    </w:rPr>
    <w:tblPr>
      <w:tblStyleRowBandSize w:val="1"/>
      <w:tblStyleColBandSize w:val="1"/>
      <w:tblBorders>
        <w:top w:val="single" w:sz="8" w:space="0" w:color="ABADCB" w:themeColor="accent1"/>
        <w:bottom w:val="single" w:sz="8" w:space="0" w:color="ABADCB" w:themeColor="accent1"/>
      </w:tblBorders>
    </w:tblPr>
    <w:tblStylePr w:type="firstRow">
      <w:pPr>
        <w:spacing w:before="0" w:after="0" w:line="240" w:lineRule="auto"/>
      </w:pPr>
      <w:rPr>
        <w:b/>
        <w:bCs/>
      </w:rPr>
      <w:tblPr/>
      <w:tcPr>
        <w:tcBorders>
          <w:top w:val="single" w:sz="8" w:space="0" w:color="ABADCB" w:themeColor="accent1"/>
          <w:left w:val="nil"/>
          <w:bottom w:val="single" w:sz="8" w:space="0" w:color="ABADCB" w:themeColor="accent1"/>
          <w:right w:val="nil"/>
          <w:insideH w:val="nil"/>
          <w:insideV w:val="nil"/>
        </w:tcBorders>
      </w:tcPr>
    </w:tblStylePr>
    <w:tblStylePr w:type="lastRow">
      <w:pPr>
        <w:spacing w:before="0" w:after="0" w:line="240" w:lineRule="auto"/>
      </w:pPr>
      <w:rPr>
        <w:b/>
        <w:bCs/>
      </w:rPr>
      <w:tblPr/>
      <w:tcPr>
        <w:tcBorders>
          <w:top w:val="single" w:sz="8" w:space="0" w:color="ABADCB" w:themeColor="accent1"/>
          <w:left w:val="nil"/>
          <w:bottom w:val="single" w:sz="8" w:space="0" w:color="ABADC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AEAF2" w:themeFill="accent1" w:themeFillTint="3F"/>
      </w:tcPr>
    </w:tblStylePr>
    <w:tblStylePr w:type="band1Horz">
      <w:tblPr/>
      <w:tcPr>
        <w:tcBorders>
          <w:left w:val="nil"/>
          <w:right w:val="nil"/>
          <w:insideH w:val="nil"/>
          <w:insideV w:val="nil"/>
        </w:tcBorders>
        <w:shd w:val="clear" w:color="auto" w:fill="EAEAF2" w:themeFill="accent1" w:themeFillTint="3F"/>
      </w:tcPr>
    </w:tblStylePr>
  </w:style>
  <w:style w:type="table" w:styleId="HelleSchattierung-Akzent3">
    <w:name w:val="Light Shading Accent 3"/>
    <w:basedOn w:val="NormaleTabelle"/>
    <w:uiPriority w:val="60"/>
    <w:rsid w:val="00702A35"/>
    <w:pPr>
      <w:spacing w:after="0" w:line="240" w:lineRule="auto"/>
    </w:pPr>
    <w:rPr>
      <w:color w:val="21255D" w:themeColor="accent3" w:themeShade="BF"/>
    </w:rPr>
    <w:tblPr>
      <w:tblStyleRowBandSize w:val="1"/>
      <w:tblStyleColBandSize w:val="1"/>
      <w:tblBorders>
        <w:top w:val="single" w:sz="8" w:space="0" w:color="2D327D" w:themeColor="accent3"/>
        <w:bottom w:val="single" w:sz="8" w:space="0" w:color="2D327D" w:themeColor="accent3"/>
      </w:tblBorders>
    </w:tblPr>
    <w:tblStylePr w:type="firstRow">
      <w:pPr>
        <w:spacing w:before="0" w:after="0" w:line="240" w:lineRule="auto"/>
      </w:pPr>
      <w:rPr>
        <w:b/>
        <w:bCs/>
      </w:rPr>
      <w:tblPr/>
      <w:tcPr>
        <w:tcBorders>
          <w:top w:val="single" w:sz="8" w:space="0" w:color="2D327D" w:themeColor="accent3"/>
          <w:left w:val="nil"/>
          <w:bottom w:val="single" w:sz="8" w:space="0" w:color="2D327D" w:themeColor="accent3"/>
          <w:right w:val="nil"/>
          <w:insideH w:val="nil"/>
          <w:insideV w:val="nil"/>
        </w:tcBorders>
      </w:tcPr>
    </w:tblStylePr>
    <w:tblStylePr w:type="lastRow">
      <w:pPr>
        <w:spacing w:before="0" w:after="0" w:line="240" w:lineRule="auto"/>
      </w:pPr>
      <w:rPr>
        <w:b/>
        <w:bCs/>
      </w:rPr>
      <w:tblPr/>
      <w:tcPr>
        <w:tcBorders>
          <w:top w:val="single" w:sz="8" w:space="0" w:color="2D327D" w:themeColor="accent3"/>
          <w:left w:val="nil"/>
          <w:bottom w:val="single" w:sz="8" w:space="0" w:color="2D327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C3E8" w:themeFill="accent3" w:themeFillTint="3F"/>
      </w:tcPr>
    </w:tblStylePr>
    <w:tblStylePr w:type="band1Horz">
      <w:tblPr/>
      <w:tcPr>
        <w:tcBorders>
          <w:left w:val="nil"/>
          <w:right w:val="nil"/>
          <w:insideH w:val="nil"/>
          <w:insideV w:val="nil"/>
        </w:tcBorders>
        <w:shd w:val="clear" w:color="auto" w:fill="C1C3E8" w:themeFill="accent3" w:themeFillTint="3F"/>
      </w:tcPr>
    </w:tblStylePr>
  </w:style>
  <w:style w:type="character" w:styleId="Hervorhebung">
    <w:name w:val="Emphasis"/>
    <w:aliases w:val="SBB Hervorhebung"/>
    <w:basedOn w:val="Absatz-Standardschriftart"/>
    <w:uiPriority w:val="20"/>
    <w:qFormat/>
    <w:rsid w:val="00702A35"/>
    <w:rPr>
      <w:rFonts w:ascii="Arial" w:hAnsi="Arial"/>
      <w:i/>
      <w:iCs/>
      <w:sz w:val="22"/>
    </w:rPr>
  </w:style>
  <w:style w:type="character" w:customStyle="1" w:styleId="berschrift1Zchn">
    <w:name w:val="Überschrift 1 Zchn"/>
    <w:aliases w:val="SBB Überschrift 1 Zchn,Übers.1 Zchn,Überschrift a1 Zchn,hei Zchn,Section Heading Zchn,H1&lt;------------------ Zchn,H1 Zchn,H11 Zchn,H12 Zchn,H13 Zchn,H14 Zchn,H15 Zchn,H16 Zchn,H17 Zchn,H18 Zchn,H19 Zchn,H110 Zchn,H111 Zchn,H112 Zchn"/>
    <w:basedOn w:val="Absatz-Standardschriftart"/>
    <w:link w:val="berschrift1"/>
    <w:rsid w:val="004A5A2E"/>
    <w:rPr>
      <w:rFonts w:ascii="Arial" w:eastAsiaTheme="majorEastAsia" w:hAnsi="Arial" w:cstheme="majorBidi"/>
      <w:b/>
      <w:bCs/>
      <w:color w:val="EB0000"/>
      <w:sz w:val="24"/>
      <w:szCs w:val="28"/>
      <w:lang w:val="fr-FR" w:eastAsia="de-CH"/>
    </w:rPr>
  </w:style>
  <w:style w:type="character" w:styleId="Hyperlink">
    <w:name w:val="Hyperlink"/>
    <w:aliases w:val="SBB Hyperlink"/>
    <w:basedOn w:val="Absatz-Standardschriftart"/>
    <w:uiPriority w:val="99"/>
    <w:unhideWhenUsed/>
    <w:rsid w:val="00702A35"/>
    <w:rPr>
      <w:rFonts w:ascii="Arial" w:hAnsi="Arial" w:cs="Arial"/>
      <w:b w:val="0"/>
      <w:bCs w:val="0"/>
      <w:i w:val="0"/>
      <w:iCs w:val="0"/>
      <w:color w:val="2D327D" w:themeColor="hyperlink"/>
      <w:spacing w:val="0"/>
      <w:w w:val="100"/>
      <w:position w:val="0"/>
      <w:sz w:val="22"/>
      <w:szCs w:val="22"/>
      <w:u w:val="single"/>
      <w:lang w:val="fr-FR"/>
      <w14:ligatures w14:val="none"/>
      <w14:numForm w14:val="default"/>
      <w14:numSpacing w14:val="default"/>
      <w14:stylisticSets/>
    </w:rPr>
  </w:style>
  <w:style w:type="paragraph" w:styleId="Inhaltsverzeichnisberschrift">
    <w:name w:val="TOC Heading"/>
    <w:basedOn w:val="berschrift1"/>
    <w:next w:val="Standard"/>
    <w:uiPriority w:val="39"/>
    <w:semiHidden/>
    <w:unhideWhenUsed/>
    <w:qFormat/>
    <w:rsid w:val="00702A35"/>
    <w:pPr>
      <w:framePr w:wrap="notBeside" w:hAnchor="text"/>
      <w:numPr>
        <w:numId w:val="0"/>
      </w:numPr>
      <w:outlineLvl w:val="9"/>
    </w:pPr>
  </w:style>
  <w:style w:type="character" w:styleId="IntensiveHervorhebung">
    <w:name w:val="Intense Emphasis"/>
    <w:aliases w:val="SBB Intensive Hervorhebung"/>
    <w:basedOn w:val="Absatz-Standardschriftart"/>
    <w:uiPriority w:val="21"/>
    <w:qFormat/>
    <w:rsid w:val="00702A35"/>
    <w:rPr>
      <w:rFonts w:ascii="Arial" w:hAnsi="Arial"/>
      <w:b/>
      <w:bCs/>
      <w:i/>
      <w:iCs/>
      <w:color w:val="auto"/>
      <w:sz w:val="22"/>
    </w:rPr>
  </w:style>
  <w:style w:type="character" w:styleId="IntensiverVerweis">
    <w:name w:val="Intense Reference"/>
    <w:aliases w:val="SBB Intensiver Verweis"/>
    <w:basedOn w:val="Absatz-Standardschriftart"/>
    <w:uiPriority w:val="32"/>
    <w:qFormat/>
    <w:rsid w:val="00702A35"/>
    <w:rPr>
      <w:rFonts w:ascii="Arial" w:hAnsi="Arial"/>
      <w:b/>
      <w:bCs/>
      <w:smallCaps/>
      <w:color w:val="auto"/>
      <w:spacing w:val="5"/>
      <w:sz w:val="22"/>
      <w:u w:val="single"/>
    </w:rPr>
  </w:style>
  <w:style w:type="paragraph" w:styleId="IntensivesZitat">
    <w:name w:val="Intense Quote"/>
    <w:aliases w:val="SBB Intensives Zitat"/>
    <w:basedOn w:val="Standard"/>
    <w:next w:val="Standard"/>
    <w:link w:val="IntensivesZitatZchn"/>
    <w:uiPriority w:val="30"/>
    <w:qFormat/>
    <w:rsid w:val="002027F0"/>
    <w:pPr>
      <w:pBdr>
        <w:bottom w:val="single" w:sz="4" w:space="4" w:color="auto"/>
      </w:pBdr>
      <w:spacing w:before="200" w:after="280"/>
      <w:ind w:left="936" w:right="936"/>
    </w:pPr>
    <w:rPr>
      <w:b/>
      <w:bCs/>
      <w:i/>
      <w:iCs/>
    </w:rPr>
  </w:style>
  <w:style w:type="character" w:customStyle="1" w:styleId="IntensivesZitatZchn">
    <w:name w:val="Intensives Zitat Zchn"/>
    <w:aliases w:val="SBB Intensives Zitat Zchn"/>
    <w:basedOn w:val="Absatz-Standardschriftart"/>
    <w:link w:val="IntensivesZitat"/>
    <w:uiPriority w:val="30"/>
    <w:rsid w:val="002027F0"/>
    <w:rPr>
      <w:rFonts w:ascii="Arial" w:eastAsiaTheme="minorHAnsi" w:hAnsi="Arial"/>
      <w:b/>
      <w:bCs/>
      <w:i/>
      <w:iCs/>
      <w:lang w:val="fr-FR" w:eastAsia="en-US"/>
    </w:rPr>
  </w:style>
  <w:style w:type="paragraph" w:styleId="KeinLeerraum">
    <w:name w:val="No Spacing"/>
    <w:uiPriority w:val="1"/>
    <w:rsid w:val="00702A35"/>
    <w:pPr>
      <w:spacing w:after="0" w:line="240" w:lineRule="auto"/>
    </w:pPr>
    <w:rPr>
      <w:rFonts w:eastAsiaTheme="minorHAnsi" w:cs="Arial"/>
      <w:lang w:eastAsia="en-US"/>
    </w:rPr>
  </w:style>
  <w:style w:type="paragraph" w:styleId="Kopfzeile">
    <w:name w:val="header"/>
    <w:aliases w:val="SBB Kopfzeile"/>
    <w:basedOn w:val="Standard"/>
    <w:link w:val="KopfzeileZchn"/>
    <w:uiPriority w:val="99"/>
    <w:unhideWhenUsed/>
    <w:rsid w:val="00702A35"/>
    <w:pPr>
      <w:framePr w:wrap="notBeside" w:vAnchor="text" w:hAnchor="text" w:y="1"/>
      <w:tabs>
        <w:tab w:val="center" w:pos="4536"/>
        <w:tab w:val="right" w:pos="9072"/>
      </w:tabs>
    </w:pPr>
    <w:rPr>
      <w:rFonts w:eastAsia="Times New Roman"/>
      <w:lang w:eastAsia="de-CH"/>
    </w:rPr>
  </w:style>
  <w:style w:type="character" w:customStyle="1" w:styleId="KopfzeileZchn">
    <w:name w:val="Kopfzeile Zchn"/>
    <w:aliases w:val="SBB Kopfzeile Zchn"/>
    <w:basedOn w:val="Absatz-Standardschriftart"/>
    <w:link w:val="Kopfzeile"/>
    <w:uiPriority w:val="99"/>
    <w:rsid w:val="00702A35"/>
    <w:rPr>
      <w:rFonts w:ascii="Arial" w:eastAsia="Times New Roman" w:hAnsi="Arial"/>
      <w:lang w:val="fr-FR" w:eastAsia="de-CH"/>
    </w:rPr>
  </w:style>
  <w:style w:type="paragraph" w:styleId="Liste">
    <w:name w:val="List"/>
    <w:basedOn w:val="Standard"/>
    <w:uiPriority w:val="99"/>
    <w:semiHidden/>
    <w:unhideWhenUsed/>
    <w:rsid w:val="00702A35"/>
    <w:pPr>
      <w:numPr>
        <w:numId w:val="31"/>
      </w:numPr>
      <w:contextualSpacing/>
    </w:pPr>
  </w:style>
  <w:style w:type="paragraph" w:styleId="Listenabsatz">
    <w:name w:val="List Paragraph"/>
    <w:aliases w:val="SBB Listenabsatz"/>
    <w:basedOn w:val="Standard"/>
    <w:link w:val="ListenabsatzZchn"/>
    <w:uiPriority w:val="34"/>
    <w:qFormat/>
    <w:rsid w:val="002027F0"/>
    <w:pPr>
      <w:numPr>
        <w:numId w:val="32"/>
      </w:numPr>
      <w:ind w:left="1134" w:hanging="454"/>
      <w:contextualSpacing/>
    </w:pPr>
  </w:style>
  <w:style w:type="character" w:styleId="Platzhaltertext">
    <w:name w:val="Placeholder Text"/>
    <w:basedOn w:val="Absatz-Standardschriftart"/>
    <w:uiPriority w:val="99"/>
    <w:semiHidden/>
    <w:rsid w:val="00702A35"/>
    <w:rPr>
      <w:color w:val="808080"/>
    </w:rPr>
  </w:style>
  <w:style w:type="character" w:customStyle="1" w:styleId="SBBFett">
    <w:name w:val="SBB Fett"/>
    <w:basedOn w:val="Absatz-Standardschriftart"/>
    <w:uiPriority w:val="1"/>
    <w:rsid w:val="00702A35"/>
    <w:rPr>
      <w:rFonts w:ascii="Arial" w:hAnsi="Arial" w:cs="Arial"/>
      <w:b/>
      <w:bCs/>
      <w:i w:val="0"/>
      <w:iCs w:val="0"/>
      <w:color w:val="auto"/>
      <w:sz w:val="22"/>
      <w:szCs w:val="22"/>
      <w:lang w:val="fr-FR"/>
    </w:rPr>
  </w:style>
  <w:style w:type="character" w:customStyle="1" w:styleId="berschrift2Zchn">
    <w:name w:val="Überschrift 2 Zchn"/>
    <w:aliases w:val="SBB Überschrift 2 Zchn,Übers.2 Zchn,Gliederung Zchn,l2 Zchn,I2 Zchn,H2 Zchn,num.                                               2 Zchn,Headline 2 Zchn,Gliederung2 Zchn,ueb11_semarb Zchn,ueb11_semarb1 Zchn,ueb11_semarb2 Zchn,H21 Zchn"/>
    <w:basedOn w:val="Absatz-Standardschriftart"/>
    <w:link w:val="berschrift2"/>
    <w:rsid w:val="00C12449"/>
    <w:rPr>
      <w:rFonts w:ascii="Arial" w:eastAsiaTheme="majorEastAsia" w:hAnsi="Arial" w:cstheme="majorBidi"/>
      <w:b/>
      <w:bCs/>
      <w:sz w:val="20"/>
      <w:szCs w:val="26"/>
      <w:lang w:val="fr-FR" w:eastAsia="de-CH"/>
    </w:rPr>
  </w:style>
  <w:style w:type="character" w:customStyle="1" w:styleId="berschrift3Zchn">
    <w:name w:val="Überschrift 3 Zchn"/>
    <w:aliases w:val="SBB Überschrift 3 Zchn,Übers.3 Zchn,H3 Zchn,num.                                              3 Zchn,Header 3 Zchn,Header3 Zchn,Gliederung3 Zchn,H3&lt;------------------ Zchn,a_Heading 3 Zchn,PA Minor Section Zchn,H31 Zchn,H32 Zchn"/>
    <w:basedOn w:val="Absatz-Standardschriftart"/>
    <w:link w:val="berschrift3"/>
    <w:rsid w:val="00C12449"/>
    <w:rPr>
      <w:rFonts w:ascii="Arial" w:eastAsia="Times New Roman" w:hAnsi="Arial" w:cstheme="majorBidi"/>
      <w:sz w:val="20"/>
      <w:szCs w:val="26"/>
      <w:lang w:val="fr-FR" w:eastAsia="de-CH"/>
    </w:rPr>
  </w:style>
  <w:style w:type="character" w:customStyle="1" w:styleId="berschrift4Zchn">
    <w:name w:val="Überschrift 4 Zchn"/>
    <w:aliases w:val="SBB Überschrift 4 Zchn,H4 Zchn,num.                                               4 Zchn,Header 4 Zchn,Titel X.X.X.x. Zchn,ASAPHeading 4 Zchn,Level 2 - a Zchn,Übersch.4 Zchn"/>
    <w:basedOn w:val="Absatz-Standardschriftart"/>
    <w:link w:val="berschrift4"/>
    <w:rsid w:val="00566470"/>
    <w:rPr>
      <w:rFonts w:ascii="Arial" w:eastAsia="Times New Roman" w:hAnsi="Arial" w:cstheme="majorBidi"/>
      <w:bCs/>
      <w:iCs/>
      <w:szCs w:val="26"/>
      <w:lang w:val="fr-FR" w:eastAsia="de-CH"/>
    </w:rPr>
  </w:style>
  <w:style w:type="character" w:customStyle="1" w:styleId="berschrift5Zchn">
    <w:name w:val="Überschrift 5 Zchn"/>
    <w:aliases w:val="SBB Überschrift 5 Zchn"/>
    <w:basedOn w:val="Absatz-Standardschriftart"/>
    <w:link w:val="berschrift5"/>
    <w:rsid w:val="00566470"/>
    <w:rPr>
      <w:rFonts w:ascii="Arial" w:eastAsia="Times New Roman" w:hAnsi="Arial"/>
      <w:lang w:val="fr-FR" w:eastAsia="de-CH"/>
    </w:rPr>
  </w:style>
  <w:style w:type="character" w:customStyle="1" w:styleId="berschrift6Zchn">
    <w:name w:val="Überschrift 6 Zchn"/>
    <w:aliases w:val="SBB Überschrift 6 Zchn"/>
    <w:basedOn w:val="Absatz-Standardschriftart"/>
    <w:link w:val="berschrift6"/>
    <w:rsid w:val="00566470"/>
    <w:rPr>
      <w:rFonts w:ascii="Arial" w:eastAsia="Times New Roman" w:hAnsi="Arial"/>
      <w:iCs/>
      <w:lang w:val="fr-FR" w:eastAsia="de-CH"/>
    </w:rPr>
  </w:style>
  <w:style w:type="character" w:customStyle="1" w:styleId="berschrift7Zchn">
    <w:name w:val="Überschrift 7 Zchn"/>
    <w:aliases w:val="SBB Überschrift 7 Zchn"/>
    <w:basedOn w:val="Absatz-Standardschriftart"/>
    <w:link w:val="berschrift7"/>
    <w:rsid w:val="00566470"/>
    <w:rPr>
      <w:rFonts w:ascii="Arial" w:eastAsia="Times New Roman" w:hAnsi="Arial"/>
      <w:lang w:val="fr-FR" w:eastAsia="de-CH"/>
    </w:rPr>
  </w:style>
  <w:style w:type="character" w:customStyle="1" w:styleId="berschrift8Zchn">
    <w:name w:val="Überschrift 8 Zchn"/>
    <w:aliases w:val="SBB Überschrift 8 Zchn"/>
    <w:basedOn w:val="Absatz-Standardschriftart"/>
    <w:link w:val="berschrift8"/>
    <w:rsid w:val="002027F0"/>
    <w:rPr>
      <w:rFonts w:ascii="Arial" w:eastAsia="Times New Roman" w:hAnsi="Arial"/>
      <w:szCs w:val="20"/>
      <w:lang w:val="fr-FR" w:eastAsia="de-CH"/>
    </w:rPr>
  </w:style>
  <w:style w:type="character" w:customStyle="1" w:styleId="berschrift9Zchn">
    <w:name w:val="Überschrift 9 Zchn"/>
    <w:aliases w:val="SBB Überschrift 9 Zchn"/>
    <w:basedOn w:val="Absatz-Standardschriftart"/>
    <w:link w:val="berschrift9"/>
    <w:rsid w:val="002027F0"/>
    <w:rPr>
      <w:rFonts w:ascii="Arial" w:eastAsia="Times New Roman" w:hAnsi="Arial"/>
      <w:iCs/>
      <w:szCs w:val="20"/>
      <w:lang w:val="fr-FR" w:eastAsia="de-CH"/>
    </w:rPr>
  </w:style>
  <w:style w:type="paragraph" w:customStyle="1" w:styleId="SBBLogo">
    <w:name w:val="SBB Logo"/>
    <w:basedOn w:val="Kopfzeile"/>
    <w:uiPriority w:val="3"/>
    <w:rsid w:val="00702A35"/>
    <w:pPr>
      <w:framePr w:wrap="auto" w:vAnchor="margin" w:yAlign="inline"/>
      <w:tabs>
        <w:tab w:val="clear" w:pos="4536"/>
        <w:tab w:val="clear" w:pos="9072"/>
      </w:tabs>
      <w:ind w:right="-397"/>
      <w:jc w:val="right"/>
    </w:pPr>
    <w:rPr>
      <w:rFonts w:cs="Times New Roman"/>
      <w:noProof/>
      <w:szCs w:val="20"/>
    </w:rPr>
  </w:style>
  <w:style w:type="table" w:customStyle="1" w:styleId="SBBRastermitRahmen">
    <w:name w:val="SBB Raster mit Rahmen"/>
    <w:basedOn w:val="NormaleTabelle"/>
    <w:uiPriority w:val="99"/>
    <w:rsid w:val="00702A35"/>
    <w:pPr>
      <w:spacing w:after="0" w:line="240" w:lineRule="auto"/>
    </w:pPr>
    <w:tblPr>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Pr>
    <w:tcPr>
      <w:tcMar>
        <w:top w:w="85" w:type="dxa"/>
        <w:left w:w="85" w:type="dxa"/>
        <w:bottom w:w="85" w:type="dxa"/>
        <w:right w:w="85" w:type="dxa"/>
      </w:tcMar>
    </w:tcPr>
    <w:tblStylePr w:type="firstRow">
      <w:rPr>
        <w:rFonts w:ascii="Arial" w:hAnsi="Arial"/>
        <w:b/>
        <w:sz w:val="22"/>
      </w:rPr>
    </w:tblStylePr>
    <w:tblStylePr w:type="firstCol">
      <w:rPr>
        <w:rFonts w:ascii="Arial" w:hAnsi="Arial"/>
        <w:b/>
        <w:sz w:val="22"/>
      </w:rPr>
    </w:tblStylePr>
  </w:style>
  <w:style w:type="table" w:customStyle="1" w:styleId="SBBRasterohneRahmen">
    <w:name w:val="SBB Raster ohne Rahmen"/>
    <w:basedOn w:val="NormaleTabelle"/>
    <w:uiPriority w:val="99"/>
    <w:rsid w:val="00702A35"/>
    <w:pPr>
      <w:spacing w:after="0" w:line="240" w:lineRule="auto"/>
    </w:pPr>
    <w:tblPr/>
    <w:tcPr>
      <w:tcMar>
        <w:top w:w="85" w:type="dxa"/>
        <w:left w:w="85" w:type="dxa"/>
        <w:bottom w:w="85" w:type="dxa"/>
        <w:right w:w="85" w:type="dxa"/>
      </w:tcMar>
    </w:tcPr>
    <w:tblStylePr w:type="firstRow">
      <w:rPr>
        <w:rFonts w:ascii="Arial" w:hAnsi="Arial"/>
        <w:b/>
        <w:sz w:val="22"/>
      </w:rPr>
    </w:tblStylePr>
    <w:tblStylePr w:type="firstCol">
      <w:rPr>
        <w:rFonts w:ascii="Arial" w:hAnsi="Arial"/>
        <w:b/>
        <w:sz w:val="22"/>
      </w:rPr>
    </w:tblStylePr>
  </w:style>
  <w:style w:type="table" w:customStyle="1" w:styleId="SBBTabelleblau">
    <w:name w:val="SBB Tabelle blau"/>
    <w:basedOn w:val="NormaleTabelle"/>
    <w:uiPriority w:val="99"/>
    <w:rsid w:val="00702A35"/>
    <w:pPr>
      <w:spacing w:after="0" w:line="240" w:lineRule="auto"/>
    </w:pPr>
    <w:tblPr>
      <w:tblStyleRowBandSize w:val="1"/>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6" w:space="0" w:color="FFFFFF" w:themeColor="background1"/>
        <w:insideV w:val="single" w:sz="6" w:space="0" w:color="FFFFFF" w:themeColor="background1"/>
      </w:tblBorders>
    </w:tblPr>
    <w:tcPr>
      <w:shd w:val="clear" w:color="auto" w:fill="auto"/>
      <w:tcMar>
        <w:top w:w="85" w:type="dxa"/>
        <w:left w:w="85" w:type="dxa"/>
        <w:bottom w:w="85" w:type="dxa"/>
        <w:right w:w="85" w:type="dxa"/>
      </w:tcMar>
    </w:tcPr>
    <w:tblStylePr w:type="firstRow">
      <w:rPr>
        <w:rFonts w:ascii="Arial" w:hAnsi="Arial"/>
        <w:b/>
        <w:color w:val="FFFFFF" w:themeColor="background1"/>
        <w:sz w:val="22"/>
      </w:rPr>
      <w:tblPr/>
      <w:tcPr>
        <w:shd w:val="clear" w:color="auto" w:fill="2D327D"/>
      </w:tcPr>
    </w:tblStylePr>
    <w:tblStylePr w:type="firstCol">
      <w:rPr>
        <w:rFonts w:ascii="Arial" w:hAnsi="Arial"/>
        <w:b/>
        <w:sz w:val="22"/>
      </w:rPr>
    </w:tblStylePr>
    <w:tblStylePr w:type="band1Horz">
      <w:rPr>
        <w:rFonts w:ascii="Arial" w:hAnsi="Arial"/>
        <w:color w:val="auto"/>
        <w:sz w:val="22"/>
      </w:rPr>
      <w:tblPr/>
      <w:tcPr>
        <w:shd w:val="clear" w:color="auto" w:fill="E2E3EC"/>
      </w:tcPr>
    </w:tblStylePr>
    <w:tblStylePr w:type="band2Horz">
      <w:rPr>
        <w:rFonts w:ascii="Arial" w:hAnsi="Arial"/>
        <w:color w:val="auto"/>
        <w:sz w:val="22"/>
      </w:rPr>
      <w:tblPr/>
      <w:tcPr>
        <w:shd w:val="clear" w:color="auto" w:fill="F1F1F6"/>
      </w:tcPr>
    </w:tblStylePr>
  </w:style>
  <w:style w:type="table" w:customStyle="1" w:styleId="SBBTabelleblauohneRahmen">
    <w:name w:val="SBB Tabelle blau ohne Rahmen"/>
    <w:basedOn w:val="NormaleTabelle"/>
    <w:uiPriority w:val="99"/>
    <w:rsid w:val="00702A35"/>
    <w:pPr>
      <w:spacing w:after="0" w:line="240" w:lineRule="auto"/>
    </w:pPr>
    <w:tblPr/>
    <w:tcPr>
      <w:tcMar>
        <w:top w:w="85" w:type="dxa"/>
        <w:left w:w="85" w:type="dxa"/>
        <w:bottom w:w="85" w:type="dxa"/>
        <w:right w:w="85" w:type="dxa"/>
      </w:tcMar>
    </w:tcPr>
    <w:tblStylePr w:type="firstRow">
      <w:tblPr/>
      <w:tcPr>
        <w:shd w:val="clear" w:color="auto" w:fill="2D327D"/>
      </w:tcPr>
    </w:tblStylePr>
  </w:style>
  <w:style w:type="table" w:customStyle="1" w:styleId="SBBTabellerot">
    <w:name w:val="SBB Tabelle rot"/>
    <w:basedOn w:val="NormaleTabelle"/>
    <w:uiPriority w:val="99"/>
    <w:rsid w:val="00702A35"/>
    <w:pPr>
      <w:spacing w:after="0" w:line="240" w:lineRule="auto"/>
    </w:pPr>
    <w:tblPr>
      <w:tblStyleRowBandSize w:val="1"/>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6" w:space="0" w:color="FFFFFF" w:themeColor="background1"/>
        <w:insideV w:val="single" w:sz="6" w:space="0" w:color="FFFFFF" w:themeColor="background1"/>
      </w:tblBorders>
    </w:tblPr>
    <w:tcPr>
      <w:shd w:val="clear" w:color="auto" w:fill="auto"/>
      <w:tcMar>
        <w:top w:w="85" w:type="dxa"/>
        <w:left w:w="85" w:type="dxa"/>
        <w:bottom w:w="85" w:type="dxa"/>
        <w:right w:w="85" w:type="dxa"/>
      </w:tcMar>
    </w:tcPr>
    <w:tblStylePr w:type="firstRow">
      <w:rPr>
        <w:rFonts w:ascii="Arial" w:hAnsi="Arial"/>
        <w:b/>
        <w:color w:val="FFFFFF" w:themeColor="background1"/>
        <w:sz w:val="20"/>
      </w:rPr>
      <w:tblPr/>
      <w:tcPr>
        <w:shd w:val="clear" w:color="auto" w:fill="FF0000"/>
      </w:tcPr>
    </w:tblStylePr>
    <w:tblStylePr w:type="band1Horz">
      <w:rPr>
        <w:rFonts w:ascii="Arial" w:hAnsi="Arial"/>
        <w:color w:val="auto"/>
        <w:sz w:val="22"/>
      </w:rPr>
      <w:tblPr/>
      <w:tcPr>
        <w:shd w:val="clear" w:color="auto" w:fill="E2E3EC"/>
      </w:tcPr>
    </w:tblStylePr>
    <w:tblStylePr w:type="band2Horz">
      <w:rPr>
        <w:rFonts w:ascii="Arial" w:hAnsi="Arial"/>
        <w:color w:val="auto"/>
        <w:sz w:val="22"/>
      </w:rPr>
      <w:tblPr/>
      <w:tcPr>
        <w:shd w:val="clear" w:color="auto" w:fill="F1F1F6"/>
      </w:tcPr>
    </w:tblStylePr>
  </w:style>
  <w:style w:type="table" w:customStyle="1" w:styleId="SBBTabellerotohneRahmen">
    <w:name w:val="SBB Tabelle rot ohne Rahmen"/>
    <w:basedOn w:val="NormaleTabelle"/>
    <w:uiPriority w:val="99"/>
    <w:rsid w:val="00702A35"/>
    <w:pPr>
      <w:spacing w:after="0" w:line="240" w:lineRule="auto"/>
    </w:pPr>
    <w:tblPr/>
    <w:tcPr>
      <w:tcMar>
        <w:top w:w="85" w:type="dxa"/>
        <w:left w:w="85" w:type="dxa"/>
        <w:bottom w:w="85" w:type="dxa"/>
        <w:right w:w="85" w:type="dxa"/>
      </w:tcMar>
    </w:tcPr>
    <w:tblStylePr w:type="firstRow">
      <w:rPr>
        <w:rFonts w:ascii="Arial" w:hAnsi="Arial"/>
        <w:b/>
        <w:color w:val="FFFFFF" w:themeColor="background1"/>
        <w:sz w:val="22"/>
      </w:rPr>
      <w:tblPr/>
      <w:tcPr>
        <w:shd w:val="clear" w:color="auto" w:fill="FF0000"/>
      </w:tcPr>
    </w:tblStylePr>
  </w:style>
  <w:style w:type="paragraph" w:customStyle="1" w:styleId="SBBVordruck11">
    <w:name w:val="SBB Vordruck11"/>
    <w:basedOn w:val="Standard"/>
    <w:uiPriority w:val="10"/>
    <w:rsid w:val="00702A35"/>
    <w:pPr>
      <w:spacing w:line="210" w:lineRule="exact"/>
    </w:pPr>
    <w:rPr>
      <w:rFonts w:eastAsia="Times New Roman" w:cs="Times New Roman"/>
      <w:noProof/>
      <w:szCs w:val="24"/>
      <w:lang w:eastAsia="de-CH"/>
    </w:rPr>
  </w:style>
  <w:style w:type="character" w:styleId="SchwacheHervorhebung">
    <w:name w:val="Subtle Emphasis"/>
    <w:aliases w:val="SBB Schwache Hervorhebung"/>
    <w:basedOn w:val="Absatz-Standardschriftart"/>
    <w:uiPriority w:val="19"/>
    <w:qFormat/>
    <w:rsid w:val="00702A35"/>
    <w:rPr>
      <w:rFonts w:ascii="Arial" w:hAnsi="Arial"/>
      <w:i/>
      <w:iCs/>
      <w:color w:val="808080" w:themeColor="text1" w:themeTint="7F"/>
      <w:sz w:val="22"/>
    </w:rPr>
  </w:style>
  <w:style w:type="character" w:styleId="SchwacherVerweis">
    <w:name w:val="Subtle Reference"/>
    <w:aliases w:val="SBB Schwacher Verweis"/>
    <w:basedOn w:val="Absatz-Standardschriftart"/>
    <w:uiPriority w:val="31"/>
    <w:qFormat/>
    <w:rsid w:val="00702A35"/>
    <w:rPr>
      <w:rFonts w:ascii="Arial" w:hAnsi="Arial"/>
      <w:smallCaps/>
      <w:color w:val="auto"/>
      <w:sz w:val="22"/>
      <w:u w:val="single"/>
    </w:rPr>
  </w:style>
  <w:style w:type="paragraph" w:styleId="Sprechblasentext">
    <w:name w:val="Balloon Text"/>
    <w:basedOn w:val="Standard"/>
    <w:link w:val="SprechblasentextZchn"/>
    <w:uiPriority w:val="99"/>
    <w:semiHidden/>
    <w:unhideWhenUsed/>
    <w:rsid w:val="00702A3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2A35"/>
    <w:rPr>
      <w:rFonts w:ascii="Tahoma" w:eastAsiaTheme="minorHAnsi" w:hAnsi="Tahoma" w:cs="Tahoma"/>
      <w:sz w:val="16"/>
      <w:szCs w:val="16"/>
      <w:lang w:val="fr-FR" w:eastAsia="en-US"/>
    </w:rPr>
  </w:style>
  <w:style w:type="table" w:styleId="Tabellenraster">
    <w:name w:val="Table Grid"/>
    <w:basedOn w:val="NormaleTabelle"/>
    <w:uiPriority w:val="59"/>
    <w:rsid w:val="00702A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aliases w:val="SBB Titel,SBB Titel klein"/>
    <w:basedOn w:val="Standard"/>
    <w:next w:val="Standard"/>
    <w:link w:val="TitelZchn"/>
    <w:uiPriority w:val="2"/>
    <w:qFormat/>
    <w:rsid w:val="004A5A2E"/>
    <w:pPr>
      <w:spacing w:after="240"/>
      <w:contextualSpacing/>
    </w:pPr>
    <w:rPr>
      <w:rFonts w:eastAsiaTheme="majorEastAsia"/>
      <w:color w:val="EB0000"/>
      <w:spacing w:val="5"/>
      <w:kern w:val="28"/>
      <w:sz w:val="32"/>
      <w:szCs w:val="28"/>
    </w:rPr>
  </w:style>
  <w:style w:type="character" w:customStyle="1" w:styleId="TitelZchn">
    <w:name w:val="Titel Zchn"/>
    <w:aliases w:val="SBB Titel Zchn,SBB Titel klein Zchn"/>
    <w:basedOn w:val="Absatz-Standardschriftart"/>
    <w:link w:val="Titel"/>
    <w:uiPriority w:val="2"/>
    <w:rsid w:val="004A5A2E"/>
    <w:rPr>
      <w:rFonts w:ascii="Arial" w:eastAsiaTheme="majorEastAsia" w:hAnsi="Arial"/>
      <w:color w:val="EB0000"/>
      <w:spacing w:val="5"/>
      <w:kern w:val="28"/>
      <w:sz w:val="32"/>
      <w:szCs w:val="28"/>
      <w:lang w:val="fr-FR" w:eastAsia="en-US"/>
    </w:rPr>
  </w:style>
  <w:style w:type="paragraph" w:styleId="Untertitel">
    <w:name w:val="Subtitle"/>
    <w:aliases w:val="SBB Untertitel"/>
    <w:basedOn w:val="Standard"/>
    <w:next w:val="Standard"/>
    <w:link w:val="UntertitelZchn"/>
    <w:uiPriority w:val="11"/>
    <w:qFormat/>
    <w:rsid w:val="002027F0"/>
    <w:pPr>
      <w:numPr>
        <w:ilvl w:val="1"/>
      </w:numPr>
    </w:pPr>
    <w:rPr>
      <w:rFonts w:eastAsiaTheme="majorEastAsia" w:cstheme="majorBidi"/>
      <w:i/>
      <w:iCs/>
      <w:color w:val="000000" w:themeColor="text1"/>
      <w:spacing w:val="15"/>
      <w:sz w:val="24"/>
      <w:szCs w:val="24"/>
    </w:rPr>
  </w:style>
  <w:style w:type="character" w:customStyle="1" w:styleId="UntertitelZchn">
    <w:name w:val="Untertitel Zchn"/>
    <w:aliases w:val="SBB Untertitel Zchn"/>
    <w:basedOn w:val="Absatz-Standardschriftart"/>
    <w:link w:val="Untertitel"/>
    <w:uiPriority w:val="11"/>
    <w:rsid w:val="002027F0"/>
    <w:rPr>
      <w:rFonts w:ascii="Arial" w:eastAsiaTheme="majorEastAsia" w:hAnsi="Arial" w:cstheme="majorBidi"/>
      <w:i/>
      <w:iCs/>
      <w:color w:val="000000" w:themeColor="text1"/>
      <w:spacing w:val="15"/>
      <w:sz w:val="24"/>
      <w:szCs w:val="24"/>
      <w:lang w:val="fr-FR" w:eastAsia="en-US"/>
    </w:rPr>
  </w:style>
  <w:style w:type="paragraph" w:styleId="Verzeichnis1">
    <w:name w:val="toc 1"/>
    <w:aliases w:val="SBB Verzeichnis 1"/>
    <w:basedOn w:val="Standard"/>
    <w:next w:val="Standard"/>
    <w:autoRedefine/>
    <w:uiPriority w:val="39"/>
    <w:unhideWhenUsed/>
    <w:qFormat/>
    <w:rsid w:val="002027F0"/>
    <w:pPr>
      <w:framePr w:wrap="notBeside" w:vAnchor="text" w:hAnchor="text" w:y="1"/>
      <w:tabs>
        <w:tab w:val="left" w:pos="851"/>
        <w:tab w:val="right" w:pos="9072"/>
      </w:tabs>
      <w:spacing w:before="120"/>
    </w:pPr>
    <w:rPr>
      <w:rFonts w:eastAsia="Times New Roman"/>
      <w:b/>
      <w:bCs/>
      <w:noProof/>
      <w:lang w:eastAsia="de-CH"/>
    </w:rPr>
  </w:style>
  <w:style w:type="paragraph" w:styleId="Verzeichnis2">
    <w:name w:val="toc 2"/>
    <w:aliases w:val="SBB Verzeichnis 2"/>
    <w:basedOn w:val="Standard"/>
    <w:next w:val="Standard"/>
    <w:autoRedefine/>
    <w:uiPriority w:val="39"/>
    <w:unhideWhenUsed/>
    <w:qFormat/>
    <w:rsid w:val="002027F0"/>
    <w:pPr>
      <w:framePr w:wrap="notBeside" w:vAnchor="text" w:hAnchor="text" w:y="1"/>
      <w:tabs>
        <w:tab w:val="left" w:pos="851"/>
        <w:tab w:val="right" w:pos="9072"/>
      </w:tabs>
    </w:pPr>
    <w:rPr>
      <w:rFonts w:eastAsia="Times New Roman"/>
      <w:b/>
      <w:bCs/>
      <w:lang w:eastAsia="de-CH"/>
    </w:rPr>
  </w:style>
  <w:style w:type="paragraph" w:styleId="Verzeichnis3">
    <w:name w:val="toc 3"/>
    <w:aliases w:val="SBB Verzeichnis 3"/>
    <w:basedOn w:val="Standard"/>
    <w:next w:val="Standard"/>
    <w:uiPriority w:val="39"/>
    <w:unhideWhenUsed/>
    <w:qFormat/>
    <w:rsid w:val="002027F0"/>
    <w:pPr>
      <w:framePr w:wrap="notBeside" w:vAnchor="text" w:hAnchor="text" w:y="1"/>
      <w:tabs>
        <w:tab w:val="left" w:pos="851"/>
        <w:tab w:val="right" w:pos="9072"/>
      </w:tabs>
    </w:pPr>
    <w:rPr>
      <w:rFonts w:eastAsia="Times New Roman"/>
      <w:lang w:eastAsia="de-CH"/>
    </w:rPr>
  </w:style>
  <w:style w:type="paragraph" w:styleId="Verzeichnis4">
    <w:name w:val="toc 4"/>
    <w:aliases w:val="SBB Verzeichnis 4"/>
    <w:basedOn w:val="Standard"/>
    <w:next w:val="Standard"/>
    <w:autoRedefine/>
    <w:uiPriority w:val="39"/>
    <w:unhideWhenUsed/>
    <w:rsid w:val="00702A35"/>
    <w:pPr>
      <w:framePr w:wrap="notBeside" w:vAnchor="text" w:hAnchor="text" w:y="1"/>
      <w:tabs>
        <w:tab w:val="left" w:pos="851"/>
        <w:tab w:val="right" w:leader="dot" w:pos="9072"/>
      </w:tabs>
    </w:pPr>
    <w:rPr>
      <w:rFonts w:eastAsia="Times New Roman"/>
      <w:lang w:eastAsia="de-CH"/>
    </w:rPr>
  </w:style>
  <w:style w:type="paragraph" w:styleId="Verzeichnis5">
    <w:name w:val="toc 5"/>
    <w:aliases w:val="SBB Verzeichnis 5"/>
    <w:basedOn w:val="Standard"/>
    <w:next w:val="Standard"/>
    <w:autoRedefine/>
    <w:uiPriority w:val="39"/>
    <w:unhideWhenUsed/>
    <w:rsid w:val="00702A35"/>
    <w:pPr>
      <w:framePr w:wrap="notBeside" w:vAnchor="text" w:hAnchor="text" w:y="1"/>
      <w:tabs>
        <w:tab w:val="left" w:pos="851"/>
        <w:tab w:val="right" w:leader="dot" w:pos="9072"/>
      </w:tabs>
    </w:pPr>
    <w:rPr>
      <w:rFonts w:eastAsia="Times New Roman"/>
      <w:lang w:eastAsia="de-CH"/>
    </w:rPr>
  </w:style>
  <w:style w:type="paragraph" w:styleId="Verzeichnis6">
    <w:name w:val="toc 6"/>
    <w:aliases w:val="SBB Verzeichnis 6"/>
    <w:basedOn w:val="Standard"/>
    <w:next w:val="Standard"/>
    <w:autoRedefine/>
    <w:uiPriority w:val="39"/>
    <w:unhideWhenUsed/>
    <w:rsid w:val="00702A35"/>
    <w:pPr>
      <w:framePr w:wrap="notBeside" w:vAnchor="text" w:hAnchor="text" w:y="1"/>
      <w:tabs>
        <w:tab w:val="left" w:pos="851"/>
        <w:tab w:val="right" w:leader="dot" w:pos="9072"/>
      </w:tabs>
    </w:pPr>
    <w:rPr>
      <w:rFonts w:eastAsia="Times New Roman"/>
      <w:lang w:eastAsia="de-CH"/>
    </w:rPr>
  </w:style>
  <w:style w:type="paragraph" w:styleId="Verzeichnis7">
    <w:name w:val="toc 7"/>
    <w:aliases w:val="SBB Verzeichnis 7"/>
    <w:basedOn w:val="Verzeichnis6"/>
    <w:next w:val="Standard"/>
    <w:autoRedefine/>
    <w:uiPriority w:val="39"/>
    <w:unhideWhenUsed/>
    <w:rsid w:val="00702A35"/>
    <w:pPr>
      <w:framePr w:wrap="notBeside"/>
    </w:pPr>
    <w:rPr>
      <w:noProof/>
    </w:rPr>
  </w:style>
  <w:style w:type="paragraph" w:styleId="Verzeichnis8">
    <w:name w:val="toc 8"/>
    <w:aliases w:val="SBB Verzeichnis 8"/>
    <w:basedOn w:val="Verzeichnis7"/>
    <w:next w:val="Standard"/>
    <w:autoRedefine/>
    <w:uiPriority w:val="39"/>
    <w:unhideWhenUsed/>
    <w:rsid w:val="00702A35"/>
    <w:pPr>
      <w:framePr w:wrap="notBeside"/>
    </w:pPr>
  </w:style>
  <w:style w:type="paragraph" w:styleId="Verzeichnis9">
    <w:name w:val="toc 9"/>
    <w:aliases w:val="SBB Verzeichnis 9"/>
    <w:basedOn w:val="Verzeichnis8"/>
    <w:next w:val="Standard"/>
    <w:autoRedefine/>
    <w:uiPriority w:val="39"/>
    <w:unhideWhenUsed/>
    <w:rsid w:val="00702A35"/>
    <w:pPr>
      <w:framePr w:wrap="notBeside"/>
    </w:pPr>
  </w:style>
  <w:style w:type="paragraph" w:customStyle="1" w:styleId="Vordruck11Fett">
    <w:name w:val="Vordruck11 Fett"/>
    <w:basedOn w:val="SBBVordruck11"/>
    <w:uiPriority w:val="10"/>
    <w:rsid w:val="00702A35"/>
    <w:rPr>
      <w:b/>
    </w:rPr>
  </w:style>
  <w:style w:type="paragraph" w:styleId="Zitat">
    <w:name w:val="Quote"/>
    <w:aliases w:val="SBB Zitat"/>
    <w:basedOn w:val="Standard"/>
    <w:next w:val="Standard"/>
    <w:link w:val="ZitatZchn"/>
    <w:uiPriority w:val="29"/>
    <w:qFormat/>
    <w:rsid w:val="002027F0"/>
    <w:rPr>
      <w:i/>
      <w:iCs/>
      <w:color w:val="000000" w:themeColor="text1"/>
    </w:rPr>
  </w:style>
  <w:style w:type="character" w:customStyle="1" w:styleId="ZitatZchn">
    <w:name w:val="Zitat Zchn"/>
    <w:aliases w:val="SBB Zitat Zchn"/>
    <w:basedOn w:val="Absatz-Standardschriftart"/>
    <w:link w:val="Zitat"/>
    <w:uiPriority w:val="29"/>
    <w:rsid w:val="002027F0"/>
    <w:rPr>
      <w:rFonts w:ascii="Arial" w:eastAsiaTheme="minorHAnsi" w:hAnsi="Arial"/>
      <w:i/>
      <w:iCs/>
      <w:color w:val="000000" w:themeColor="text1"/>
      <w:lang w:val="fr-FR" w:eastAsia="en-US"/>
    </w:rPr>
  </w:style>
  <w:style w:type="paragraph" w:customStyle="1" w:styleId="Absenderzeile">
    <w:name w:val="Absenderzeile"/>
    <w:basedOn w:val="Standard"/>
    <w:link w:val="AbsenderzeileZchn"/>
    <w:rsid w:val="00702A35"/>
    <w:rPr>
      <w:rFonts w:eastAsia="Times New Roman" w:cs="Times New Roman"/>
      <w:noProof/>
      <w:sz w:val="14"/>
      <w:szCs w:val="14"/>
      <w:u w:val="single"/>
      <w:lang w:eastAsia="de-CH"/>
    </w:rPr>
  </w:style>
  <w:style w:type="character" w:customStyle="1" w:styleId="AbsenderzeileZchn">
    <w:name w:val="Absenderzeile Zchn"/>
    <w:basedOn w:val="Absatz-Standardschriftart"/>
    <w:link w:val="Absenderzeile"/>
    <w:rsid w:val="00702A35"/>
    <w:rPr>
      <w:rFonts w:ascii="Arial" w:eastAsia="Times New Roman" w:hAnsi="Arial" w:cs="Times New Roman"/>
      <w:noProof/>
      <w:sz w:val="14"/>
      <w:szCs w:val="14"/>
      <w:u w:val="single"/>
      <w:lang w:val="fr-FR" w:eastAsia="de-CH"/>
    </w:rPr>
  </w:style>
  <w:style w:type="paragraph" w:customStyle="1" w:styleId="StandardNo">
    <w:name w:val="StandardNo"/>
    <w:basedOn w:val="Standard"/>
    <w:link w:val="StandardNoZchn"/>
    <w:rsid w:val="00702A35"/>
    <w:rPr>
      <w:rFonts w:eastAsia="Times New Roman" w:cs="Times New Roman"/>
      <w:noProof/>
      <w:szCs w:val="24"/>
      <w:lang w:eastAsia="de-CH"/>
    </w:rPr>
  </w:style>
  <w:style w:type="character" w:customStyle="1" w:styleId="StandardNoZchn">
    <w:name w:val="StandardNo Zchn"/>
    <w:basedOn w:val="Absatz-Standardschriftart"/>
    <w:link w:val="StandardNo"/>
    <w:rsid w:val="00702A35"/>
    <w:rPr>
      <w:rFonts w:ascii="Arial" w:eastAsia="Times New Roman" w:hAnsi="Arial" w:cs="Times New Roman"/>
      <w:noProof/>
      <w:szCs w:val="24"/>
      <w:lang w:val="fr-FR" w:eastAsia="de-CH"/>
    </w:rPr>
  </w:style>
  <w:style w:type="paragraph" w:customStyle="1" w:styleId="SBBTitel2gross">
    <w:name w:val="SBB Titel2 gross"/>
    <w:basedOn w:val="Standard"/>
    <w:next w:val="Standard"/>
    <w:qFormat/>
    <w:rsid w:val="004A5A2E"/>
    <w:rPr>
      <w:b/>
      <w:color w:val="EB0000"/>
      <w:sz w:val="56"/>
    </w:rPr>
  </w:style>
  <w:style w:type="paragraph" w:customStyle="1" w:styleId="Aufzhlung">
    <w:name w:val="Aufzählung"/>
    <w:basedOn w:val="Listenabsatz"/>
    <w:qFormat/>
    <w:rsid w:val="00EB41F5"/>
    <w:pPr>
      <w:numPr>
        <w:numId w:val="41"/>
      </w:numPr>
      <w:spacing w:line="240" w:lineRule="auto"/>
    </w:pPr>
    <w:rPr>
      <w:rFonts w:eastAsia="Times New Roman" w:cs="Times New Roman"/>
      <w:szCs w:val="24"/>
      <w:lang w:eastAsia="de-CH"/>
    </w:rPr>
  </w:style>
  <w:style w:type="character" w:styleId="Kommentarzeichen">
    <w:name w:val="annotation reference"/>
    <w:basedOn w:val="Absatz-Standardschriftart"/>
    <w:uiPriority w:val="99"/>
    <w:semiHidden/>
    <w:unhideWhenUsed/>
    <w:rsid w:val="00EB41F5"/>
    <w:rPr>
      <w:sz w:val="16"/>
      <w:szCs w:val="16"/>
    </w:rPr>
  </w:style>
  <w:style w:type="paragraph" w:styleId="Kommentartext">
    <w:name w:val="annotation text"/>
    <w:basedOn w:val="Standard"/>
    <w:link w:val="KommentartextZchn"/>
    <w:uiPriority w:val="99"/>
    <w:unhideWhenUsed/>
    <w:rsid w:val="00EB41F5"/>
    <w:pPr>
      <w:spacing w:line="240" w:lineRule="auto"/>
    </w:pPr>
    <w:rPr>
      <w:szCs w:val="20"/>
    </w:rPr>
  </w:style>
  <w:style w:type="character" w:customStyle="1" w:styleId="KommentartextZchn">
    <w:name w:val="Kommentartext Zchn"/>
    <w:basedOn w:val="Absatz-Standardschriftart"/>
    <w:link w:val="Kommentartext"/>
    <w:uiPriority w:val="99"/>
    <w:rsid w:val="00EB41F5"/>
    <w:rPr>
      <w:rFonts w:ascii="Arial" w:eastAsiaTheme="minorHAnsi" w:hAnsi="Arial"/>
      <w:sz w:val="20"/>
      <w:szCs w:val="20"/>
      <w:lang w:val="fr-FR" w:eastAsia="en-US"/>
    </w:rPr>
  </w:style>
  <w:style w:type="paragraph" w:styleId="Kommentarthema">
    <w:name w:val="annotation subject"/>
    <w:basedOn w:val="Kommentartext"/>
    <w:next w:val="Kommentartext"/>
    <w:link w:val="KommentarthemaZchn"/>
    <w:uiPriority w:val="99"/>
    <w:semiHidden/>
    <w:unhideWhenUsed/>
    <w:rsid w:val="00EB41F5"/>
    <w:rPr>
      <w:b/>
      <w:bCs/>
    </w:rPr>
  </w:style>
  <w:style w:type="character" w:customStyle="1" w:styleId="KommentarthemaZchn">
    <w:name w:val="Kommentarthema Zchn"/>
    <w:basedOn w:val="KommentartextZchn"/>
    <w:link w:val="Kommentarthema"/>
    <w:uiPriority w:val="99"/>
    <w:semiHidden/>
    <w:rsid w:val="00EB41F5"/>
    <w:rPr>
      <w:rFonts w:ascii="Arial" w:eastAsiaTheme="minorHAnsi" w:hAnsi="Arial"/>
      <w:b/>
      <w:bCs/>
      <w:sz w:val="20"/>
      <w:szCs w:val="20"/>
      <w:lang w:val="fr-FR" w:eastAsia="en-US"/>
    </w:rPr>
  </w:style>
  <w:style w:type="character" w:customStyle="1" w:styleId="ListenabsatzZchn">
    <w:name w:val="Listenabsatz Zchn"/>
    <w:aliases w:val="SBB Listenabsatz Zchn"/>
    <w:basedOn w:val="Absatz-Standardschriftart"/>
    <w:link w:val="Listenabsatz"/>
    <w:uiPriority w:val="34"/>
    <w:qFormat/>
    <w:rsid w:val="00EB41F5"/>
    <w:rPr>
      <w:rFonts w:ascii="Arial" w:eastAsiaTheme="minorHAnsi" w:hAnsi="Arial"/>
      <w:sz w:val="20"/>
      <w:lang w:val="fr-FR" w:eastAsia="en-US"/>
    </w:rPr>
  </w:style>
  <w:style w:type="paragraph" w:customStyle="1" w:styleId="Hiddentext">
    <w:name w:val="Hiddentext"/>
    <w:basedOn w:val="Textkrper"/>
    <w:link w:val="HiddentextChar"/>
    <w:qFormat/>
    <w:rsid w:val="00EB41F5"/>
    <w:pPr>
      <w:numPr>
        <w:numId w:val="46"/>
      </w:numPr>
      <w:autoSpaceDE w:val="0"/>
      <w:autoSpaceDN w:val="0"/>
      <w:spacing w:after="0" w:line="240" w:lineRule="auto"/>
    </w:pPr>
    <w:rPr>
      <w:rFonts w:cs="Arial"/>
      <w:i/>
      <w:iCs/>
      <w:vanish/>
      <w:color w:val="FF0000"/>
      <w:sz w:val="16"/>
      <w:szCs w:val="16"/>
    </w:rPr>
  </w:style>
  <w:style w:type="character" w:customStyle="1" w:styleId="HiddentextChar">
    <w:name w:val="Hiddentext Char"/>
    <w:link w:val="Hiddentext"/>
    <w:rsid w:val="00EB41F5"/>
    <w:rPr>
      <w:rFonts w:ascii="Arial" w:eastAsiaTheme="minorHAnsi" w:hAnsi="Arial" w:cs="Arial"/>
      <w:i/>
      <w:iCs/>
      <w:vanish/>
      <w:color w:val="FF0000"/>
      <w:sz w:val="16"/>
      <w:szCs w:val="16"/>
      <w:lang w:val="fr-FR" w:eastAsia="en-US"/>
    </w:rPr>
  </w:style>
  <w:style w:type="paragraph" w:styleId="Textkrper">
    <w:name w:val="Body Text"/>
    <w:basedOn w:val="Standard"/>
    <w:link w:val="TextkrperZchn"/>
    <w:uiPriority w:val="99"/>
    <w:semiHidden/>
    <w:unhideWhenUsed/>
    <w:rsid w:val="00EB41F5"/>
    <w:pPr>
      <w:spacing w:after="120"/>
    </w:pPr>
    <w:rPr>
      <w:sz w:val="22"/>
    </w:rPr>
  </w:style>
  <w:style w:type="character" w:customStyle="1" w:styleId="TextkrperZchn">
    <w:name w:val="Textkörper Zchn"/>
    <w:basedOn w:val="Absatz-Standardschriftart"/>
    <w:link w:val="Textkrper"/>
    <w:uiPriority w:val="99"/>
    <w:semiHidden/>
    <w:rsid w:val="00EB41F5"/>
    <w:rPr>
      <w:rFonts w:ascii="Arial" w:eastAsiaTheme="minorHAnsi" w:hAnsi="Arial"/>
      <w:lang w:val="fr-FR" w:eastAsia="en-US"/>
    </w:rPr>
  </w:style>
  <w:style w:type="character" w:styleId="NichtaufgelsteErwhnung">
    <w:name w:val="Unresolved Mention"/>
    <w:basedOn w:val="Absatz-Standardschriftart"/>
    <w:uiPriority w:val="99"/>
    <w:unhideWhenUsed/>
    <w:rsid w:val="00EB41F5"/>
    <w:rPr>
      <w:color w:val="605E5C"/>
      <w:shd w:val="clear" w:color="auto" w:fill="E1DFDD"/>
    </w:rPr>
  </w:style>
  <w:style w:type="paragraph" w:customStyle="1" w:styleId="Master">
    <w:name w:val="Master"/>
    <w:autoRedefine/>
    <w:rsid w:val="00EB41F5"/>
    <w:pPr>
      <w:numPr>
        <w:numId w:val="43"/>
      </w:numPr>
      <w:tabs>
        <w:tab w:val="left" w:pos="1134"/>
      </w:tabs>
      <w:spacing w:after="60" w:line="240" w:lineRule="auto"/>
      <w:ind w:right="139"/>
    </w:pPr>
    <w:rPr>
      <w:rFonts w:ascii="Arial" w:eastAsia="Times New Roman" w:hAnsi="Arial" w:cs="Times New Roman"/>
      <w:noProof/>
      <w:sz w:val="20"/>
      <w:szCs w:val="20"/>
      <w:lang w:eastAsia="de-CH"/>
    </w:rPr>
  </w:style>
  <w:style w:type="character" w:styleId="Erwhnung">
    <w:name w:val="Mention"/>
    <w:basedOn w:val="Absatz-Standardschriftart"/>
    <w:uiPriority w:val="99"/>
    <w:unhideWhenUsed/>
    <w:rsid w:val="00EB41F5"/>
    <w:rPr>
      <w:color w:val="2B579A"/>
      <w:shd w:val="clear" w:color="auto" w:fill="E1DFDD"/>
    </w:rPr>
  </w:style>
  <w:style w:type="paragraph" w:customStyle="1" w:styleId="Einzug1">
    <w:name w:val="Einzug 1"/>
    <w:basedOn w:val="Standard"/>
    <w:link w:val="Einzug1Char"/>
    <w:rsid w:val="007412C7"/>
    <w:pPr>
      <w:spacing w:after="60" w:line="240" w:lineRule="auto"/>
      <w:ind w:left="851"/>
    </w:pPr>
    <w:rPr>
      <w:rFonts w:eastAsia="Times New Roman" w:cs="Times New Roman"/>
      <w:szCs w:val="24"/>
      <w:lang w:eastAsia="de-CH"/>
    </w:rPr>
  </w:style>
  <w:style w:type="character" w:customStyle="1" w:styleId="Einzug1Char">
    <w:name w:val="Einzug 1 Char"/>
    <w:basedOn w:val="Absatz-Standardschriftart"/>
    <w:link w:val="Einzug1"/>
    <w:rsid w:val="007412C7"/>
    <w:rPr>
      <w:rFonts w:ascii="Arial" w:eastAsia="Times New Roman" w:hAnsi="Arial" w:cs="Times New Roman"/>
      <w:sz w:val="20"/>
      <w:szCs w:val="24"/>
      <w:lang w:val="fr-FR" w:eastAsia="de-CH"/>
    </w:rPr>
  </w:style>
  <w:style w:type="paragraph" w:customStyle="1" w:styleId="StandardText">
    <w:name w:val="Standard / Text"/>
    <w:basedOn w:val="Standard"/>
    <w:link w:val="StandardTextZchn"/>
    <w:qFormat/>
    <w:rsid w:val="00C0426A"/>
    <w:pPr>
      <w:tabs>
        <w:tab w:val="left" w:pos="1710"/>
        <w:tab w:val="left" w:pos="3420"/>
        <w:tab w:val="left" w:pos="4680"/>
      </w:tabs>
      <w:spacing w:before="120" w:after="120" w:line="259" w:lineRule="auto"/>
      <w:ind w:left="851"/>
    </w:pPr>
    <w:rPr>
      <w:rFonts w:eastAsia="Times New Roman" w:cs="Times New Roman"/>
      <w:snapToGrid w:val="0"/>
      <w:szCs w:val="20"/>
      <w:lang w:eastAsia="de-CH"/>
    </w:rPr>
  </w:style>
  <w:style w:type="character" w:customStyle="1" w:styleId="StandardTextZchn">
    <w:name w:val="Standard / Text Zchn"/>
    <w:basedOn w:val="Absatz-Standardschriftart"/>
    <w:link w:val="StandardText"/>
    <w:rsid w:val="00C0426A"/>
    <w:rPr>
      <w:rFonts w:ascii="Arial" w:eastAsia="Times New Roman" w:hAnsi="Arial" w:cs="Times New Roman"/>
      <w:snapToGrid w:val="0"/>
      <w:sz w:val="20"/>
      <w:szCs w:val="20"/>
      <w:lang w:val="fr-FR" w:eastAsia="de-CH"/>
    </w:rPr>
  </w:style>
  <w:style w:type="paragraph" w:styleId="berarbeitung">
    <w:name w:val="Revision"/>
    <w:hidden/>
    <w:uiPriority w:val="99"/>
    <w:semiHidden/>
    <w:rsid w:val="00E65904"/>
    <w:pPr>
      <w:spacing w:after="0" w:line="240" w:lineRule="auto"/>
    </w:pPr>
    <w:rPr>
      <w:rFonts w:ascii="Arial" w:eastAsiaTheme="minorHAnsi" w:hAnsi="Arial"/>
      <w:sz w:val="20"/>
      <w:lang w:eastAsia="en-US"/>
    </w:rPr>
  </w:style>
  <w:style w:type="paragraph" w:customStyle="1" w:styleId="Formatvorlage9ptVor2ptNach48ptZeilenabstandMindestens9">
    <w:name w:val="Formatvorlage 9 pt Vor:  2 pt Nach:  4.8 pt Zeilenabstand:  Mindestens 9..."/>
    <w:basedOn w:val="Standard"/>
    <w:rsid w:val="007436A4"/>
    <w:pPr>
      <w:spacing w:after="60" w:line="180" w:lineRule="atLeast"/>
    </w:pPr>
    <w:rPr>
      <w:rFonts w:eastAsia="Times New Roman" w:cs="Times New Roman"/>
      <w:sz w:val="18"/>
      <w:szCs w:val="20"/>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34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microsoft.com/office/2007/relationships/hdphoto" Target="media/hdphoto1.wdp"/><Relationship Id="rId1" Type="http://schemas.openxmlformats.org/officeDocument/2006/relationships/image" Target="media/image1.png"/><Relationship Id="rId6" Type="http://schemas.microsoft.com/office/2007/relationships/hdphoto" Target="media/hdphoto3.wdp"/><Relationship Id="rId5" Type="http://schemas.openxmlformats.org/officeDocument/2006/relationships/image" Target="media/image3.png"/><Relationship Id="rId4" Type="http://schemas.microsoft.com/office/2007/relationships/hdphoto" Target="media/hdphoto2.wdp"/></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SBB_Vorlagen\SBB\DK_0004_Neutral%20qu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ADF704AD5CC43B8B13CDFC8FA6D6D68"/>
        <w:category>
          <w:name w:val="Allgemein"/>
          <w:gallery w:val="placeholder"/>
        </w:category>
        <w:types>
          <w:type w:val="bbPlcHdr"/>
        </w:types>
        <w:behaviors>
          <w:behavior w:val="content"/>
        </w:behaviors>
        <w:guid w:val="{DF98B6AE-B472-4AD9-BB89-16D3D8029645}"/>
      </w:docPartPr>
      <w:docPartBody>
        <w:p w:rsidR="006933E7" w:rsidRDefault="0095521B" w:rsidP="0095521B">
          <w:pPr>
            <w:pStyle w:val="5ADF704AD5CC43B8B13CDFC8FA6D6D681"/>
          </w:pPr>
          <w:r w:rsidRPr="00EB41F5">
            <w:rPr>
              <w:rStyle w:val="Platzhaltertext"/>
              <w:color w:val="000000" w:themeColor="text1"/>
              <w:sz w:val="16"/>
              <w:szCs w:val="16"/>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2"/>
    <w:rsid w:val="003967F3"/>
    <w:rsid w:val="005727E3"/>
    <w:rsid w:val="006113C7"/>
    <w:rsid w:val="006311E7"/>
    <w:rsid w:val="006933E7"/>
    <w:rsid w:val="008B0B6F"/>
    <w:rsid w:val="008C6E40"/>
    <w:rsid w:val="0095521B"/>
    <w:rsid w:val="009610D0"/>
    <w:rsid w:val="009D3B64"/>
    <w:rsid w:val="00A765F0"/>
    <w:rsid w:val="00BF2B1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95521B"/>
    <w:rPr>
      <w:color w:val="808080"/>
    </w:rPr>
  </w:style>
  <w:style w:type="paragraph" w:customStyle="1" w:styleId="5ADF704AD5CC43B8B13CDFC8FA6D6D681">
    <w:name w:val="5ADF704AD5CC43B8B13CDFC8FA6D6D681"/>
    <w:rsid w:val="0095521B"/>
    <w:pPr>
      <w:spacing w:after="0" w:line="280" w:lineRule="atLeast"/>
    </w:pPr>
    <w:rPr>
      <w:rFonts w:ascii="Arial" w:eastAsiaTheme="minorHAnsi" w:hAnsi="Arial"/>
      <w:sz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SBB">
  <a:themeElements>
    <a:clrScheme name="SBB">
      <a:dk1>
        <a:srgbClr val="000000"/>
      </a:dk1>
      <a:lt1>
        <a:srgbClr val="FFFFFF"/>
      </a:lt1>
      <a:dk2>
        <a:srgbClr val="B7B7B7"/>
      </a:dk2>
      <a:lt2>
        <a:srgbClr val="4C4C4C"/>
      </a:lt2>
      <a:accent1>
        <a:srgbClr val="ABADCB"/>
      </a:accent1>
      <a:accent2>
        <a:srgbClr val="6C6FA4"/>
      </a:accent2>
      <a:accent3>
        <a:srgbClr val="2D327D"/>
      </a:accent3>
      <a:accent4>
        <a:srgbClr val="FF9999"/>
      </a:accent4>
      <a:accent5>
        <a:srgbClr val="FF4C4C"/>
      </a:accent5>
      <a:accent6>
        <a:srgbClr val="FF0000"/>
      </a:accent6>
      <a:hlink>
        <a:srgbClr val="2D327D"/>
      </a:hlink>
      <a:folHlink>
        <a:srgbClr val="D5D6E5"/>
      </a:folHlink>
    </a:clrScheme>
    <a:fontScheme name="SBB">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A011AAF08EACDC49A19B3D52BE7C88D4" ma:contentTypeVersion="10" ma:contentTypeDescription="Ein neues Dokument erstellen." ma:contentTypeScope="" ma:versionID="42095ebff09110b74eba70fb1086f8f4">
  <xsd:schema xmlns:xsd="http://www.w3.org/2001/XMLSchema" xmlns:xs="http://www.w3.org/2001/XMLSchema" xmlns:p="http://schemas.microsoft.com/office/2006/metadata/properties" xmlns:ns2="09ccd5b5-b6dd-424a-a36a-190e9e210746" xmlns:ns3="2b385e0c-4e7a-4bd6-b486-8370e62580cc" targetNamespace="http://schemas.microsoft.com/office/2006/metadata/properties" ma:root="true" ma:fieldsID="32a694b8126a94b83365acd159edebf2" ns2:_="" ns3:_="">
    <xsd:import namespace="09ccd5b5-b6dd-424a-a36a-190e9e210746"/>
    <xsd:import namespace="2b385e0c-4e7a-4bd6-b486-8370e62580c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ccd5b5-b6dd-424a-a36a-190e9e2107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2e7e7b05-955d-4ec1-8c45-691041b8b00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b385e0c-4e7a-4bd6-b486-8370e62580c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d5a296b-0997-4d97-9598-49d48f7c5d9c}" ma:internalName="TaxCatchAll" ma:showField="CatchAllData" ma:web="2b385e0c-4e7a-4bd6-b486-8370e62580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lcf76f155ced4ddcb4097134ff3c332f xmlns="09ccd5b5-b6dd-424a-a36a-190e9e210746">
      <Terms xmlns="http://schemas.microsoft.com/office/infopath/2007/PartnerControls"/>
    </lcf76f155ced4ddcb4097134ff3c332f>
    <TaxCatchAll xmlns="2b385e0c-4e7a-4bd6-b486-8370e62580cc" xsi:nil="true"/>
  </documentManagement>
</p:properties>
</file>

<file path=customXml/item4.xml><?xml version="1.0" encoding="utf-8"?>
<tns:customPropertyEditors xmlns:tns="http://schemas.microsoft.com/office/2006/customDocumentInformationPanel" xmlns:star_td="http://www.star-group.net/schemas/transit/filters/textdata">
  <tns:showOnOpen>false</tns:showOnOpen>
  <tns:defaultPropertyEditorNamespace>Standard- und SharePoint-Bibliothekseigenschaften</tns:defaultPropertyEditorNamespace>
</tns:customPropertyEdito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C85A67-9F9B-4069-887D-CE3AF5F366CF}">
  <ds:schemaRefs>
    <ds:schemaRef ds:uri="http://schemas.openxmlformats.org/officeDocument/2006/bibliography"/>
    <ds:schemaRef ds:uri="http://www.star-group.net/schemas/transit/filters/textdata"/>
  </ds:schemaRefs>
</ds:datastoreItem>
</file>

<file path=customXml/itemProps2.xml><?xml version="1.0" encoding="utf-8"?>
<ds:datastoreItem xmlns:ds="http://schemas.openxmlformats.org/officeDocument/2006/customXml" ds:itemID="{2BA7DF73-45D5-4060-875D-C1E286C390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ccd5b5-b6dd-424a-a36a-190e9e210746"/>
    <ds:schemaRef ds:uri="2b385e0c-4e7a-4bd6-b486-8370e62580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B7ED01-0FE7-4013-B122-7C063EAB1BC3}">
  <ds:schemaRefs>
    <ds:schemaRef ds:uri="http://schemas.microsoft.com/office/2006/metadata/properties"/>
    <ds:schemaRef ds:uri="http://schemas.microsoft.com/office/infopath/2007/PartnerControls"/>
    <ds:schemaRef ds:uri="http://www.star-group.net/schemas/transit/filters/textdata"/>
    <ds:schemaRef ds:uri="09ccd5b5-b6dd-424a-a36a-190e9e210746"/>
    <ds:schemaRef ds:uri="2b385e0c-4e7a-4bd6-b486-8370e62580cc"/>
  </ds:schemaRefs>
</ds:datastoreItem>
</file>

<file path=customXml/itemProps4.xml><?xml version="1.0" encoding="utf-8"?>
<ds:datastoreItem xmlns:ds="http://schemas.openxmlformats.org/officeDocument/2006/customXml" ds:itemID="{1464F713-317D-4A35-8FA3-415239A916EF}">
  <ds:schemaRefs>
    <ds:schemaRef ds:uri="http://schemas.microsoft.com/office/2006/customDocumentInformationPanel"/>
    <ds:schemaRef ds:uri="http://www.star-group.net/schemas/transit/filters/textdata"/>
  </ds:schemaRefs>
</ds:datastoreItem>
</file>

<file path=customXml/itemProps5.xml><?xml version="1.0" encoding="utf-8"?>
<ds:datastoreItem xmlns:ds="http://schemas.openxmlformats.org/officeDocument/2006/customXml" ds:itemID="{E5BA4136-2123-4B14-AFBC-D8E021D7C4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DK_0004_Neutral quer.dotx</Template>
  <TotalTime>0</TotalTime>
  <Pages>11</Pages>
  <Words>1812</Words>
  <Characters>11419</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
    </vt:vector>
  </TitlesOfParts>
  <Company>SBB AG</Company>
  <LinksUpToDate>false</LinksUpToDate>
  <CharactersWithSpaces>13205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Lienhard Marielle (IT-OM-PRM-SPT)</dc:creator>
  <cp:lastModifiedBy>Lienhard Marielle (IT-PTR-CEN2-SME3)</cp:lastModifiedBy>
  <cp:revision>140</cp:revision>
  <dcterms:created xsi:type="dcterms:W3CDTF">2020-11-12T12:06:00Z</dcterms:created>
  <dcterms:modified xsi:type="dcterms:W3CDTF">2023-02-02T09:58:00Z</dcterms:modified>
  <cp:contentStatus>In Arbeit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328a58dd-0b75-4127-95e9-4ee74e4755af</vt:lpwstr>
  </property>
  <property fmtid="{D5CDD505-2E9C-101B-9397-08002B2CF9AE}" pid="3" name="VERSION">
    <vt:lpwstr>1.0.0</vt:lpwstr>
  </property>
  <property fmtid="{D5CDD505-2E9C-101B-9397-08002B2CF9AE}" pid="4" name="Status_0">
    <vt:lpwstr>In Arbeit|5da52893-878e-4f16-8c0f-6f1d371a87cc</vt:lpwstr>
  </property>
  <property fmtid="{D5CDD505-2E9C-101B-9397-08002B2CF9AE}" pid="5" name="Status">
    <vt:lpwstr>1;#In Arbeit|5da52893-878e-4f16-8c0f-6f1d371a87cc</vt:lpwstr>
  </property>
  <property fmtid="{D5CDD505-2E9C-101B-9397-08002B2CF9AE}" pid="6" name="Seriendruck">
    <vt:lpwstr> </vt:lpwstr>
  </property>
  <property fmtid="{D5CDD505-2E9C-101B-9397-08002B2CF9AE}" pid="7" name="SBB">
    <vt:lpwstr>1</vt:lpwstr>
  </property>
  <property fmtid="{D5CDD505-2E9C-101B-9397-08002B2CF9AE}" pid="8" name="MP_InheritedTags">
    <vt:lpwstr/>
  </property>
  <property fmtid="{D5CDD505-2E9C-101B-9397-08002B2CF9AE}" pid="9" name="LogoFarbig">
    <vt:lpwstr>-1</vt:lpwstr>
  </property>
  <property fmtid="{D5CDD505-2E9C-101B-9397-08002B2CF9AE}" pid="10" name="Logo">
    <vt:lpwstr>LogoSBB</vt:lpwstr>
  </property>
  <property fmtid="{D5CDD505-2E9C-101B-9397-08002B2CF9AE}" pid="11" name="Keyword_0">
    <vt:lpwstr/>
  </property>
  <property fmtid="{D5CDD505-2E9C-101B-9397-08002B2CF9AE}" pid="12" name="Keyword">
    <vt:lpwstr/>
  </property>
  <property fmtid="{D5CDD505-2E9C-101B-9397-08002B2CF9AE}" pid="13" name="Formulartitel">
    <vt:lpwstr> </vt:lpwstr>
  </property>
  <property fmtid="{D5CDD505-2E9C-101B-9397-08002B2CF9AE}" pid="14" name="FormularSeite">
    <vt:lpwstr>Neutral</vt:lpwstr>
  </property>
  <property fmtid="{D5CDD505-2E9C-101B-9397-08002B2CF9AE}" pid="15" name="Formular">
    <vt:lpwstr>Standard</vt:lpwstr>
  </property>
  <property fmtid="{D5CDD505-2E9C-101B-9397-08002B2CF9AE}" pid="16" name="FirmaTelefon">
    <vt:lpwstr/>
  </property>
  <property fmtid="{D5CDD505-2E9C-101B-9397-08002B2CF9AE}" pid="17" name="FirmaTelefax">
    <vt:lpwstr/>
  </property>
  <property fmtid="{D5CDD505-2E9C-101B-9397-08002B2CF9AE}" pid="18" name="FirmaRechtlicherFirmenname">
    <vt:lpwstr>SBB AG</vt:lpwstr>
  </property>
  <property fmtid="{D5CDD505-2E9C-101B-9397-08002B2CF9AE}" pid="19" name="FirmaOrganisationseinheit">
    <vt:lpwstr> </vt:lpwstr>
  </property>
  <property fmtid="{D5CDD505-2E9C-101B-9397-08002B2CF9AE}" pid="20" name="FirmaLand">
    <vt:lpwstr>Schweiz</vt:lpwstr>
  </property>
  <property fmtid="{D5CDD505-2E9C-101B-9397-08002B2CF9AE}" pid="21" name="FirmaIntranet">
    <vt:lpwstr>http://intranet.sbb.ch</vt:lpwstr>
  </property>
  <property fmtid="{D5CDD505-2E9C-101B-9397-08002B2CF9AE}" pid="22" name="FirmaInternetIntranetFusszeile">
    <vt:lpwstr>www.sbb.ch</vt:lpwstr>
  </property>
  <property fmtid="{D5CDD505-2E9C-101B-9397-08002B2CF9AE}" pid="23" name="FirmaInternet">
    <vt:lpwstr>www.sbb.ch</vt:lpwstr>
  </property>
  <property fmtid="{D5CDD505-2E9C-101B-9397-08002B2CF9AE}" pid="24" name="FirmaFirmaInGruss">
    <vt:lpwstr>FirmaInGruss</vt:lpwstr>
  </property>
  <property fmtid="{D5CDD505-2E9C-101B-9397-08002B2CF9AE}" pid="25" name="FirmaAdresse3">
    <vt:lpwstr> </vt:lpwstr>
  </property>
  <property fmtid="{D5CDD505-2E9C-101B-9397-08002B2CF9AE}" pid="26" name="FirmaAdresse2">
    <vt:lpwstr/>
  </property>
  <property fmtid="{D5CDD505-2E9C-101B-9397-08002B2CF9AE}" pid="27" name="FirmaAdresse1">
    <vt:lpwstr> </vt:lpwstr>
  </property>
  <property fmtid="{D5CDD505-2E9C-101B-9397-08002B2CF9AE}" pid="28" name="FirmaAbkOrganisationseinheit">
    <vt:lpwstr> </vt:lpwstr>
  </property>
  <property fmtid="{D5CDD505-2E9C-101B-9397-08002B2CF9AE}" pid="29" name="DocumentOwner">
    <vt:lpwstr/>
  </property>
  <property fmtid="{D5CDD505-2E9C-101B-9397-08002B2CF9AE}" pid="30" name="ContentTypeId">
    <vt:lpwstr>0x010100A011AAF08EACDC49A19B3D52BE7C88D4</vt:lpwstr>
  </property>
  <property fmtid="{D5CDD505-2E9C-101B-9397-08002B2CF9AE}" pid="31" name="Confidentiality_0">
    <vt:lpwstr>Intern|62a0be02-f36a-4921-b808-50c565cb6ae4</vt:lpwstr>
  </property>
  <property fmtid="{D5CDD505-2E9C-101B-9397-08002B2CF9AE}" pid="32" name="Confidentiality">
    <vt:lpwstr>2;#Intern|62a0be02-f36a-4921-b808-50c565cb6ae4</vt:lpwstr>
  </property>
  <property fmtid="{D5CDD505-2E9C-101B-9397-08002B2CF9AE}" pid="33" name="Briefart">
    <vt:lpwstr/>
  </property>
  <property fmtid="{D5CDD505-2E9C-101B-9397-08002B2CF9AE}" pid="34" name="BenutzerVornameNameLinks">
    <vt:lpwstr> </vt:lpwstr>
  </property>
  <property fmtid="{D5CDD505-2E9C-101B-9397-08002B2CF9AE}" pid="35" name="BenutzerVornameName">
    <vt:lpwstr> </vt:lpwstr>
  </property>
  <property fmtid="{D5CDD505-2E9C-101B-9397-08002B2CF9AE}" pid="36" name="BenutzerTelefonDirekt">
    <vt:lpwstr/>
  </property>
  <property fmtid="{D5CDD505-2E9C-101B-9397-08002B2CF9AE}" pid="37" name="BenutzerTelefaxDirekt">
    <vt:lpwstr/>
  </property>
  <property fmtid="{D5CDD505-2E9C-101B-9397-08002B2CF9AE}" pid="38" name="BenutzerOrt">
    <vt:lpwstr> </vt:lpwstr>
  </property>
  <property fmtid="{D5CDD505-2E9C-101B-9397-08002B2CF9AE}" pid="39" name="BenutzerMobil">
    <vt:lpwstr> </vt:lpwstr>
  </property>
  <property fmtid="{D5CDD505-2E9C-101B-9397-08002B2CF9AE}" pid="40" name="BenutzerGebaeudeBueroNr">
    <vt:lpwstr>BenutzerGebaeudeBueroNr</vt:lpwstr>
  </property>
  <property fmtid="{D5CDD505-2E9C-101B-9397-08002B2CF9AE}" pid="41" name="BenutzerFunktionLinks">
    <vt:lpwstr> </vt:lpwstr>
  </property>
  <property fmtid="{D5CDD505-2E9C-101B-9397-08002B2CF9AE}" pid="42" name="BenutzerFunktion">
    <vt:lpwstr> </vt:lpwstr>
  </property>
  <property fmtid="{D5CDD505-2E9C-101B-9397-08002B2CF9AE}" pid="43" name="BenutzerErstellerKurzzeichen">
    <vt:lpwstr>ErstellerKurzzeichen</vt:lpwstr>
  </property>
  <property fmtid="{D5CDD505-2E9C-101B-9397-08002B2CF9AE}" pid="44" name="BenutzerEMail">
    <vt:lpwstr> </vt:lpwstr>
  </property>
  <property fmtid="{D5CDD505-2E9C-101B-9397-08002B2CF9AE}" pid="45" name="AuthorisedAudience">
    <vt:lpwstr/>
  </property>
  <property fmtid="{D5CDD505-2E9C-101B-9397-08002B2CF9AE}" pid="46" name="AdresseZusatz">
    <vt:lpwstr>Adresse Zusatz</vt:lpwstr>
  </property>
  <property fmtid="{D5CDD505-2E9C-101B-9397-08002B2CF9AE}" pid="47" name="Abbrechen">
    <vt:lpwstr>0</vt:lpwstr>
  </property>
  <property fmtid="{D5CDD505-2E9C-101B-9397-08002B2CF9AE}" pid="48" name="MediaServiceImageTags">
    <vt:lpwstr/>
  </property>
  <property fmtid="{D5CDD505-2E9C-101B-9397-08002B2CF9AE}" pid="49" name="MSIP_Label_19c7eaf1-a8b5-4a48-ae78-6800f6078c3f_Enabled">
    <vt:lpwstr>true</vt:lpwstr>
  </property>
  <property fmtid="{D5CDD505-2E9C-101B-9397-08002B2CF9AE}" pid="50" name="MSIP_Label_19c7eaf1-a8b5-4a48-ae78-6800f6078c3f_SetDate">
    <vt:lpwstr>2023-02-02T09:58:35Z</vt:lpwstr>
  </property>
  <property fmtid="{D5CDD505-2E9C-101B-9397-08002B2CF9AE}" pid="51" name="MSIP_Label_19c7eaf1-a8b5-4a48-ae78-6800f6078c3f_Method">
    <vt:lpwstr>Privileged</vt:lpwstr>
  </property>
  <property fmtid="{D5CDD505-2E9C-101B-9397-08002B2CF9AE}" pid="52" name="MSIP_Label_19c7eaf1-a8b5-4a48-ae78-6800f6078c3f_Name">
    <vt:lpwstr>C3.1 - Unencrypted</vt:lpwstr>
  </property>
  <property fmtid="{D5CDD505-2E9C-101B-9397-08002B2CF9AE}" pid="53" name="MSIP_Label_19c7eaf1-a8b5-4a48-ae78-6800f6078c3f_SiteId">
    <vt:lpwstr>2cda5d11-f0ac-46b3-967d-af1b2e1bd01a</vt:lpwstr>
  </property>
  <property fmtid="{D5CDD505-2E9C-101B-9397-08002B2CF9AE}" pid="54" name="MSIP_Label_19c7eaf1-a8b5-4a48-ae78-6800f6078c3f_ActionId">
    <vt:lpwstr>ab310af7-f21d-4bdc-8952-6b06132c94fd</vt:lpwstr>
  </property>
  <property fmtid="{D5CDD505-2E9C-101B-9397-08002B2CF9AE}" pid="55" name="MSIP_Label_19c7eaf1-a8b5-4a48-ae78-6800f6078c3f_ContentBits">
    <vt:lpwstr>2</vt:lpwstr>
  </property>
</Properties>
</file>